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5BF27" w14:textId="7A6452FC" w:rsidR="00B17DF9" w:rsidRDefault="003505A7" w:rsidP="00C7551E">
      <w:pPr>
        <w:pStyle w:val="MParagraph"/>
        <w:rPr>
          <w:color w:val="FFFFFF" w:themeColor="background1"/>
        </w:rPr>
      </w:pPr>
      <w:r>
        <w:rPr>
          <w:noProof/>
          <w:lang w:val="en-ZA"/>
        </w:rPr>
        <w:drawing>
          <wp:anchor distT="0" distB="0" distL="114300" distR="114300" simplePos="0" relativeHeight="251661312" behindDoc="0" locked="0" layoutInCell="1" allowOverlap="1" wp14:anchorId="02C7EC20" wp14:editId="1D34A1F6">
            <wp:simplePos x="0" y="0"/>
            <wp:positionH relativeFrom="page">
              <wp:posOffset>11902</wp:posOffset>
            </wp:positionH>
            <wp:positionV relativeFrom="paragraph">
              <wp:posOffset>-1167130</wp:posOffset>
            </wp:positionV>
            <wp:extent cx="7520152" cy="10637025"/>
            <wp:effectExtent l="0" t="0" r="5080" b="0"/>
            <wp:wrapNone/>
            <wp:docPr id="1605601413" name="Picture 13" descr="A close-up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01413" name="Picture 13" descr="A close-up of a calculat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0152" cy="10637025"/>
                    </a:xfrm>
                    <a:prstGeom prst="rect">
                      <a:avLst/>
                    </a:prstGeom>
                  </pic:spPr>
                </pic:pic>
              </a:graphicData>
            </a:graphic>
            <wp14:sizeRelH relativeFrom="margin">
              <wp14:pctWidth>0</wp14:pctWidth>
            </wp14:sizeRelH>
            <wp14:sizeRelV relativeFrom="margin">
              <wp14:pctHeight>0</wp14:pctHeight>
            </wp14:sizeRelV>
          </wp:anchor>
        </w:drawing>
      </w:r>
    </w:p>
    <w:p w14:paraId="583322A5" w14:textId="126EFB9C" w:rsidR="00B17DF9" w:rsidRDefault="00B17DF9">
      <w:pPr>
        <w:spacing w:line="259" w:lineRule="auto"/>
        <w:rPr>
          <w:rFonts w:asciiTheme="majorHAnsi" w:hAnsiTheme="majorHAnsi"/>
          <w:b/>
          <w:caps/>
          <w:color w:val="FFFFFF" w:themeColor="background1"/>
          <w:sz w:val="56"/>
          <w:szCs w:val="52"/>
        </w:rPr>
      </w:pPr>
      <w:r>
        <w:rPr>
          <w:color w:val="FFFFFF" w:themeColor="background1"/>
        </w:rPr>
        <w:br w:type="page"/>
      </w:r>
    </w:p>
    <w:p w14:paraId="494FC0E3" w14:textId="72C493BB" w:rsidR="0071740B" w:rsidRDefault="0071740B">
      <w:pPr>
        <w:spacing w:line="259" w:lineRule="auto"/>
        <w:rPr>
          <w:rFonts w:ascii="Calibri" w:hAnsi="Calibri" w:cs="Calibri"/>
          <w:b/>
          <w:bCs/>
          <w:color w:val="B4111A" w:themeColor="accent1"/>
          <w:sz w:val="36"/>
          <w:szCs w:val="36"/>
        </w:rPr>
      </w:pPr>
    </w:p>
    <w:p w14:paraId="3F219184" w14:textId="77777777" w:rsidR="0071740B" w:rsidRDefault="0071740B" w:rsidP="0071740B">
      <w:pPr>
        <w:autoSpaceDE w:val="0"/>
        <w:autoSpaceDN w:val="0"/>
        <w:adjustRightInd w:val="0"/>
        <w:spacing w:after="0" w:line="240" w:lineRule="auto"/>
        <w:jc w:val="center"/>
        <w:rPr>
          <w:rFonts w:eastAsia="Times New Roman" w:cstheme="minorHAnsi"/>
          <w:b/>
          <w:color w:val="C00000"/>
          <w:sz w:val="36"/>
          <w:szCs w:val="36"/>
          <w:lang w:val="en-ZA"/>
        </w:rPr>
      </w:pPr>
    </w:p>
    <w:p w14:paraId="579B44AC" w14:textId="77777777" w:rsidR="0071740B" w:rsidRDefault="0071740B" w:rsidP="0071740B">
      <w:pPr>
        <w:autoSpaceDE w:val="0"/>
        <w:autoSpaceDN w:val="0"/>
        <w:adjustRightInd w:val="0"/>
        <w:spacing w:after="0" w:line="240" w:lineRule="auto"/>
        <w:jc w:val="center"/>
        <w:rPr>
          <w:rFonts w:eastAsia="Times New Roman" w:cstheme="minorHAnsi"/>
          <w:b/>
          <w:color w:val="C00000"/>
          <w:sz w:val="36"/>
          <w:szCs w:val="36"/>
          <w:lang w:val="en-ZA"/>
        </w:rPr>
      </w:pPr>
    </w:p>
    <w:p w14:paraId="34BD68D2" w14:textId="277BFA7F" w:rsidR="0071740B" w:rsidRDefault="0071740B">
      <w:pPr>
        <w:spacing w:line="259" w:lineRule="auto"/>
        <w:rPr>
          <w:rFonts w:eastAsia="Times New Roman" w:cstheme="minorHAnsi"/>
          <w:b/>
          <w:color w:val="C00000"/>
          <w:sz w:val="36"/>
          <w:szCs w:val="36"/>
          <w:lang w:val="en-ZA"/>
        </w:rPr>
      </w:pPr>
      <w:r>
        <w:rPr>
          <w:rFonts w:eastAsia="Times New Roman" w:cstheme="minorHAnsi"/>
          <w:b/>
          <w:color w:val="C00000"/>
          <w:sz w:val="36"/>
          <w:szCs w:val="36"/>
          <w:lang w:val="en-ZA"/>
        </w:rPr>
        <w:br w:type="page"/>
      </w:r>
    </w:p>
    <w:p w14:paraId="61389F4D" w14:textId="77777777" w:rsidR="0071740B" w:rsidRDefault="0071740B" w:rsidP="0071740B">
      <w:pPr>
        <w:autoSpaceDE w:val="0"/>
        <w:autoSpaceDN w:val="0"/>
        <w:adjustRightInd w:val="0"/>
        <w:spacing w:after="0" w:line="240" w:lineRule="auto"/>
        <w:jc w:val="center"/>
        <w:rPr>
          <w:rFonts w:eastAsia="Times New Roman" w:cstheme="minorHAnsi"/>
          <w:b/>
          <w:color w:val="C00000"/>
          <w:sz w:val="36"/>
          <w:szCs w:val="36"/>
          <w:lang w:val="en-ZA"/>
        </w:rPr>
      </w:pPr>
    </w:p>
    <w:p w14:paraId="58E4A4F4" w14:textId="77777777" w:rsidR="0071740B" w:rsidRDefault="0071740B" w:rsidP="0071740B">
      <w:pPr>
        <w:autoSpaceDE w:val="0"/>
        <w:autoSpaceDN w:val="0"/>
        <w:adjustRightInd w:val="0"/>
        <w:spacing w:after="0" w:line="240" w:lineRule="auto"/>
        <w:jc w:val="center"/>
        <w:rPr>
          <w:rFonts w:eastAsia="Times New Roman" w:cstheme="minorHAnsi"/>
          <w:b/>
          <w:color w:val="C00000"/>
          <w:sz w:val="36"/>
          <w:szCs w:val="36"/>
          <w:lang w:val="en-ZA"/>
        </w:rPr>
      </w:pPr>
    </w:p>
    <w:p w14:paraId="178B68B7" w14:textId="54443CFD" w:rsidR="0071740B" w:rsidRPr="00873BD3" w:rsidRDefault="0071740B" w:rsidP="0071740B">
      <w:pPr>
        <w:autoSpaceDE w:val="0"/>
        <w:autoSpaceDN w:val="0"/>
        <w:adjustRightInd w:val="0"/>
        <w:spacing w:after="0" w:line="240" w:lineRule="auto"/>
        <w:jc w:val="center"/>
        <w:rPr>
          <w:rFonts w:eastAsia="Times New Roman" w:cstheme="minorHAnsi"/>
          <w:b/>
          <w:i/>
          <w:color w:val="C00000"/>
          <w:sz w:val="36"/>
          <w:szCs w:val="36"/>
          <w:lang w:val="en-ZA"/>
        </w:rPr>
      </w:pPr>
      <w:r w:rsidRPr="00873BD3">
        <w:rPr>
          <w:rFonts w:eastAsia="Times New Roman" w:cstheme="minorHAnsi"/>
          <w:b/>
          <w:color w:val="C00000"/>
          <w:sz w:val="36"/>
          <w:szCs w:val="36"/>
          <w:lang w:val="en-ZA"/>
        </w:rPr>
        <w:t>EXPLANATORY MEMORANDUM</w:t>
      </w:r>
    </w:p>
    <w:p w14:paraId="5A3D0268" w14:textId="77777777" w:rsidR="0071740B" w:rsidRPr="00873BD3" w:rsidRDefault="0071740B" w:rsidP="0071740B">
      <w:pPr>
        <w:autoSpaceDE w:val="0"/>
        <w:autoSpaceDN w:val="0"/>
        <w:adjustRightInd w:val="0"/>
        <w:spacing w:after="0" w:line="240" w:lineRule="auto"/>
        <w:jc w:val="center"/>
        <w:rPr>
          <w:rFonts w:eastAsia="Times New Roman" w:cstheme="minorHAnsi"/>
          <w:b/>
          <w:color w:val="C00000"/>
          <w:sz w:val="36"/>
          <w:szCs w:val="36"/>
          <w:lang w:val="en-ZA"/>
        </w:rPr>
      </w:pPr>
    </w:p>
    <w:p w14:paraId="71922605" w14:textId="77777777" w:rsidR="0071740B" w:rsidRPr="00873BD3" w:rsidRDefault="0071740B" w:rsidP="0071740B">
      <w:pPr>
        <w:autoSpaceDE w:val="0"/>
        <w:autoSpaceDN w:val="0"/>
        <w:adjustRightInd w:val="0"/>
        <w:spacing w:after="0" w:line="240" w:lineRule="auto"/>
        <w:jc w:val="center"/>
        <w:rPr>
          <w:rFonts w:eastAsia="Times New Roman" w:cstheme="minorHAnsi"/>
          <w:b/>
          <w:i/>
          <w:color w:val="C00000"/>
          <w:sz w:val="36"/>
          <w:szCs w:val="36"/>
          <w:lang w:val="en-ZA"/>
        </w:rPr>
      </w:pPr>
      <w:r w:rsidRPr="00873BD3">
        <w:rPr>
          <w:rFonts w:eastAsia="Times New Roman" w:cstheme="minorHAnsi"/>
          <w:b/>
          <w:color w:val="C00000"/>
          <w:sz w:val="36"/>
          <w:szCs w:val="36"/>
          <w:lang w:val="en-ZA"/>
        </w:rPr>
        <w:t>ON THE</w:t>
      </w:r>
    </w:p>
    <w:p w14:paraId="0EC990A5" w14:textId="77777777" w:rsidR="0071740B" w:rsidRPr="00873BD3" w:rsidRDefault="0071740B" w:rsidP="0071740B">
      <w:pPr>
        <w:autoSpaceDE w:val="0"/>
        <w:autoSpaceDN w:val="0"/>
        <w:adjustRightInd w:val="0"/>
        <w:spacing w:after="0" w:line="240" w:lineRule="auto"/>
        <w:jc w:val="center"/>
        <w:rPr>
          <w:rFonts w:eastAsia="Times New Roman" w:cstheme="minorHAnsi"/>
          <w:b/>
          <w:color w:val="C00000"/>
          <w:sz w:val="36"/>
          <w:szCs w:val="36"/>
          <w:lang w:val="en-ZA"/>
        </w:rPr>
      </w:pPr>
    </w:p>
    <w:p w14:paraId="65BEC31C" w14:textId="77777777" w:rsidR="0071740B" w:rsidRPr="00873BD3" w:rsidRDefault="0071740B" w:rsidP="0071740B">
      <w:pPr>
        <w:autoSpaceDE w:val="0"/>
        <w:autoSpaceDN w:val="0"/>
        <w:adjustRightInd w:val="0"/>
        <w:spacing w:after="0" w:line="240" w:lineRule="auto"/>
        <w:jc w:val="center"/>
        <w:rPr>
          <w:rFonts w:eastAsia="Times New Roman" w:cstheme="minorHAnsi"/>
          <w:b/>
          <w:color w:val="C00000"/>
          <w:sz w:val="36"/>
          <w:szCs w:val="36"/>
          <w:lang w:val="en-ZA"/>
        </w:rPr>
      </w:pPr>
      <w:r w:rsidRPr="00873BD3">
        <w:rPr>
          <w:rFonts w:eastAsia="Times New Roman" w:cstheme="minorHAnsi"/>
          <w:b/>
          <w:color w:val="C00000"/>
          <w:sz w:val="36"/>
          <w:szCs w:val="36"/>
        </w:rPr>
        <w:t>GLOBAL MINIMUM TAX BILL,</w:t>
      </w:r>
      <w:r w:rsidRPr="00873BD3">
        <w:rPr>
          <w:rFonts w:eastAsia="Times New Roman" w:cstheme="minorHAnsi"/>
          <w:b/>
          <w:color w:val="C00000"/>
          <w:sz w:val="36"/>
          <w:szCs w:val="36"/>
          <w:lang w:val="en-ZA"/>
        </w:rPr>
        <w:t xml:space="preserve"> 2024</w:t>
      </w:r>
    </w:p>
    <w:p w14:paraId="624FF9B6" w14:textId="77777777" w:rsidR="0071740B" w:rsidRPr="00873BD3" w:rsidRDefault="0071740B" w:rsidP="0071740B">
      <w:pPr>
        <w:autoSpaceDE w:val="0"/>
        <w:autoSpaceDN w:val="0"/>
        <w:adjustRightInd w:val="0"/>
        <w:spacing w:after="0" w:line="240" w:lineRule="auto"/>
        <w:jc w:val="center"/>
        <w:rPr>
          <w:rFonts w:eastAsia="Times New Roman" w:cstheme="minorHAnsi"/>
          <w:b/>
          <w:sz w:val="32"/>
          <w:szCs w:val="32"/>
          <w:lang w:val="en-ZA"/>
        </w:rPr>
      </w:pPr>
    </w:p>
    <w:p w14:paraId="312BB494" w14:textId="77777777" w:rsidR="0071740B" w:rsidRPr="00873BD3" w:rsidRDefault="0071740B" w:rsidP="0071740B">
      <w:pPr>
        <w:autoSpaceDE w:val="0"/>
        <w:autoSpaceDN w:val="0"/>
        <w:adjustRightInd w:val="0"/>
        <w:spacing w:after="0" w:line="240" w:lineRule="auto"/>
        <w:jc w:val="center"/>
        <w:rPr>
          <w:rFonts w:eastAsia="Times New Roman" w:cstheme="minorHAnsi"/>
          <w:b/>
          <w:sz w:val="32"/>
          <w:szCs w:val="32"/>
          <w:lang w:val="en-ZA"/>
        </w:rPr>
      </w:pPr>
    </w:p>
    <w:p w14:paraId="74BB5619" w14:textId="77777777" w:rsidR="0071740B" w:rsidRPr="00873BD3" w:rsidRDefault="0071740B" w:rsidP="0071740B">
      <w:pPr>
        <w:autoSpaceDE w:val="0"/>
        <w:autoSpaceDN w:val="0"/>
        <w:adjustRightInd w:val="0"/>
        <w:spacing w:after="0" w:line="240" w:lineRule="auto"/>
        <w:jc w:val="center"/>
        <w:rPr>
          <w:rFonts w:eastAsia="Times New Roman" w:cstheme="minorHAnsi"/>
          <w:b/>
          <w:sz w:val="28"/>
          <w:szCs w:val="28"/>
          <w:lang w:val="en-ZA"/>
        </w:rPr>
      </w:pPr>
      <w:r w:rsidRPr="00873BD3">
        <w:rPr>
          <w:rFonts w:eastAsia="Times New Roman" w:cstheme="minorHAnsi"/>
          <w:b/>
          <w:sz w:val="28"/>
          <w:szCs w:val="28"/>
          <w:lang w:val="en-ZA"/>
        </w:rPr>
        <w:t>(Draft)</w:t>
      </w:r>
    </w:p>
    <w:p w14:paraId="51E2F019" w14:textId="77777777" w:rsidR="0071740B" w:rsidRPr="00873BD3" w:rsidRDefault="0071740B" w:rsidP="0071740B">
      <w:pPr>
        <w:autoSpaceDE w:val="0"/>
        <w:autoSpaceDN w:val="0"/>
        <w:adjustRightInd w:val="0"/>
        <w:spacing w:after="0" w:line="240" w:lineRule="auto"/>
        <w:jc w:val="center"/>
        <w:rPr>
          <w:rFonts w:eastAsia="Times New Roman" w:cstheme="minorHAnsi"/>
          <w:b/>
          <w:sz w:val="28"/>
          <w:szCs w:val="28"/>
          <w:lang w:val="en-ZA"/>
        </w:rPr>
      </w:pPr>
    </w:p>
    <w:p w14:paraId="0A21C208" w14:textId="77777777" w:rsidR="0071740B" w:rsidRPr="00873BD3" w:rsidRDefault="0071740B" w:rsidP="0071740B">
      <w:pPr>
        <w:autoSpaceDE w:val="0"/>
        <w:autoSpaceDN w:val="0"/>
        <w:adjustRightInd w:val="0"/>
        <w:spacing w:after="0" w:line="240" w:lineRule="auto"/>
        <w:jc w:val="both"/>
        <w:rPr>
          <w:rFonts w:eastAsia="Times New Roman" w:cstheme="minorHAnsi"/>
          <w:sz w:val="28"/>
          <w:szCs w:val="28"/>
          <w:lang w:val="en-ZA"/>
        </w:rPr>
      </w:pPr>
    </w:p>
    <w:p w14:paraId="4C1D634E" w14:textId="77777777" w:rsidR="0071740B" w:rsidRPr="00873BD3" w:rsidRDefault="0071740B" w:rsidP="0071740B">
      <w:pPr>
        <w:autoSpaceDE w:val="0"/>
        <w:autoSpaceDN w:val="0"/>
        <w:adjustRightInd w:val="0"/>
        <w:spacing w:after="0" w:line="240" w:lineRule="auto"/>
        <w:jc w:val="center"/>
        <w:rPr>
          <w:rFonts w:eastAsia="Times New Roman" w:cstheme="minorHAnsi"/>
          <w:b/>
          <w:sz w:val="28"/>
          <w:szCs w:val="28"/>
          <w:lang w:val="en-ZA"/>
        </w:rPr>
      </w:pPr>
      <w:r w:rsidRPr="00873BD3">
        <w:rPr>
          <w:rFonts w:eastAsia="Times New Roman" w:cstheme="minorHAnsi"/>
          <w:b/>
          <w:sz w:val="28"/>
          <w:szCs w:val="28"/>
          <w:lang w:val="en-ZA"/>
        </w:rPr>
        <w:t xml:space="preserve">Republic of South Africa </w:t>
      </w:r>
    </w:p>
    <w:p w14:paraId="1E777C3B" w14:textId="77777777" w:rsidR="0071740B" w:rsidRPr="00873BD3" w:rsidRDefault="0071740B" w:rsidP="0071740B">
      <w:pPr>
        <w:autoSpaceDE w:val="0"/>
        <w:autoSpaceDN w:val="0"/>
        <w:adjustRightInd w:val="0"/>
        <w:spacing w:after="0" w:line="240" w:lineRule="auto"/>
        <w:jc w:val="both"/>
        <w:rPr>
          <w:rFonts w:eastAsia="Times New Roman" w:cstheme="minorHAnsi"/>
          <w:sz w:val="32"/>
          <w:szCs w:val="32"/>
          <w:lang w:val="en-ZA"/>
        </w:rPr>
      </w:pPr>
    </w:p>
    <w:p w14:paraId="68E5B58E" w14:textId="77777777" w:rsidR="0071740B" w:rsidRPr="00873BD3" w:rsidRDefault="0071740B" w:rsidP="0071740B">
      <w:pPr>
        <w:autoSpaceDE w:val="0"/>
        <w:autoSpaceDN w:val="0"/>
        <w:adjustRightInd w:val="0"/>
        <w:spacing w:after="0" w:line="240" w:lineRule="auto"/>
        <w:jc w:val="both"/>
        <w:rPr>
          <w:rFonts w:eastAsia="Times New Roman" w:cstheme="minorHAnsi"/>
          <w:sz w:val="32"/>
          <w:szCs w:val="32"/>
          <w:lang w:val="en-ZA"/>
        </w:rPr>
      </w:pPr>
    </w:p>
    <w:p w14:paraId="4F72E56C" w14:textId="77777777" w:rsidR="0071740B" w:rsidRPr="00873BD3" w:rsidRDefault="0071740B" w:rsidP="0071740B">
      <w:pPr>
        <w:autoSpaceDE w:val="0"/>
        <w:autoSpaceDN w:val="0"/>
        <w:adjustRightInd w:val="0"/>
        <w:spacing w:after="0" w:line="240" w:lineRule="auto"/>
        <w:jc w:val="both"/>
        <w:rPr>
          <w:rFonts w:eastAsia="Times New Roman" w:cstheme="minorHAnsi"/>
          <w:sz w:val="32"/>
          <w:szCs w:val="32"/>
          <w:lang w:val="en-ZA"/>
        </w:rPr>
      </w:pPr>
    </w:p>
    <w:p w14:paraId="05D83C1A" w14:textId="77777777" w:rsidR="0071740B" w:rsidRPr="00873BD3" w:rsidRDefault="0071740B" w:rsidP="0071740B">
      <w:pPr>
        <w:autoSpaceDE w:val="0"/>
        <w:autoSpaceDN w:val="0"/>
        <w:adjustRightInd w:val="0"/>
        <w:spacing w:after="0" w:line="240" w:lineRule="auto"/>
        <w:jc w:val="both"/>
        <w:rPr>
          <w:rFonts w:eastAsia="Times New Roman" w:cstheme="minorHAnsi"/>
          <w:sz w:val="32"/>
          <w:szCs w:val="32"/>
          <w:lang w:val="en-ZA"/>
        </w:rPr>
      </w:pPr>
    </w:p>
    <w:p w14:paraId="53865915" w14:textId="77777777" w:rsidR="0071740B" w:rsidRPr="00873BD3" w:rsidRDefault="0071740B" w:rsidP="0071740B">
      <w:pPr>
        <w:autoSpaceDE w:val="0"/>
        <w:autoSpaceDN w:val="0"/>
        <w:adjustRightInd w:val="0"/>
        <w:spacing w:after="0" w:line="240" w:lineRule="auto"/>
        <w:jc w:val="both"/>
        <w:rPr>
          <w:rFonts w:eastAsia="Times New Roman" w:cstheme="minorHAnsi"/>
          <w:sz w:val="32"/>
          <w:szCs w:val="32"/>
          <w:lang w:val="en-ZA"/>
        </w:rPr>
      </w:pPr>
    </w:p>
    <w:p w14:paraId="641457D6" w14:textId="77777777" w:rsidR="0071740B" w:rsidRPr="00873BD3" w:rsidRDefault="0071740B" w:rsidP="0071740B">
      <w:pPr>
        <w:autoSpaceDE w:val="0"/>
        <w:autoSpaceDN w:val="0"/>
        <w:adjustRightInd w:val="0"/>
        <w:spacing w:after="0" w:line="240" w:lineRule="auto"/>
        <w:jc w:val="both"/>
        <w:rPr>
          <w:rFonts w:eastAsia="Times New Roman" w:cstheme="minorHAnsi"/>
          <w:sz w:val="32"/>
          <w:szCs w:val="32"/>
          <w:lang w:val="en-ZA"/>
        </w:rPr>
      </w:pPr>
    </w:p>
    <w:p w14:paraId="7B7AAB71" w14:textId="77777777" w:rsidR="0071740B" w:rsidRPr="00873BD3" w:rsidRDefault="0071740B" w:rsidP="0071740B">
      <w:pPr>
        <w:autoSpaceDE w:val="0"/>
        <w:autoSpaceDN w:val="0"/>
        <w:adjustRightInd w:val="0"/>
        <w:spacing w:after="0" w:line="240" w:lineRule="auto"/>
        <w:jc w:val="both"/>
        <w:rPr>
          <w:rFonts w:eastAsia="Times New Roman" w:cstheme="minorHAnsi"/>
          <w:sz w:val="32"/>
          <w:szCs w:val="32"/>
          <w:lang w:val="en-ZA"/>
        </w:rPr>
      </w:pPr>
    </w:p>
    <w:p w14:paraId="2C10142D" w14:textId="77777777" w:rsidR="0071740B" w:rsidRPr="00873BD3" w:rsidRDefault="0071740B" w:rsidP="0071740B">
      <w:pPr>
        <w:autoSpaceDE w:val="0"/>
        <w:autoSpaceDN w:val="0"/>
        <w:adjustRightInd w:val="0"/>
        <w:spacing w:after="0" w:line="240" w:lineRule="auto"/>
        <w:jc w:val="both"/>
        <w:rPr>
          <w:rFonts w:eastAsia="Times New Roman" w:cstheme="minorHAnsi"/>
          <w:sz w:val="32"/>
          <w:szCs w:val="32"/>
          <w:lang w:val="en-ZA"/>
        </w:rPr>
      </w:pPr>
    </w:p>
    <w:p w14:paraId="7FE2BB37" w14:textId="77777777" w:rsidR="0071740B" w:rsidRPr="00873BD3" w:rsidRDefault="0071740B" w:rsidP="0071740B">
      <w:pPr>
        <w:autoSpaceDE w:val="0"/>
        <w:autoSpaceDN w:val="0"/>
        <w:adjustRightInd w:val="0"/>
        <w:spacing w:after="0" w:line="240" w:lineRule="auto"/>
        <w:jc w:val="center"/>
        <w:rPr>
          <w:rFonts w:eastAsia="Times New Roman" w:cstheme="minorHAnsi"/>
          <w:b/>
          <w:i/>
          <w:sz w:val="28"/>
          <w:szCs w:val="28"/>
          <w:lang w:val="en-ZA"/>
        </w:rPr>
      </w:pPr>
      <w:r w:rsidRPr="00873BD3">
        <w:rPr>
          <w:rFonts w:eastAsia="Times New Roman" w:cstheme="minorHAnsi"/>
          <w:b/>
          <w:sz w:val="28"/>
          <w:szCs w:val="28"/>
          <w:lang w:val="en-ZA"/>
        </w:rPr>
        <w:t>30 September 2024</w:t>
      </w:r>
    </w:p>
    <w:p w14:paraId="38352803" w14:textId="77777777" w:rsidR="0071740B" w:rsidRPr="00873BD3" w:rsidRDefault="0071740B" w:rsidP="0071740B">
      <w:pPr>
        <w:widowControl w:val="0"/>
        <w:tabs>
          <w:tab w:val="center" w:pos="4680"/>
        </w:tabs>
        <w:autoSpaceDE w:val="0"/>
        <w:autoSpaceDN w:val="0"/>
        <w:adjustRightInd w:val="0"/>
        <w:spacing w:after="0" w:line="240" w:lineRule="auto"/>
        <w:jc w:val="center"/>
        <w:rPr>
          <w:rFonts w:eastAsia="Times New Roman" w:cstheme="minorHAnsi"/>
          <w:b/>
          <w:sz w:val="72"/>
          <w:szCs w:val="72"/>
          <w:lang w:val="en-ZA"/>
        </w:rPr>
      </w:pPr>
    </w:p>
    <w:p w14:paraId="6A4CDED1" w14:textId="77777777" w:rsidR="0071740B" w:rsidRPr="00873BD3" w:rsidRDefault="0071740B" w:rsidP="0071740B">
      <w:pPr>
        <w:widowControl w:val="0"/>
        <w:tabs>
          <w:tab w:val="center" w:pos="4680"/>
        </w:tabs>
        <w:autoSpaceDE w:val="0"/>
        <w:autoSpaceDN w:val="0"/>
        <w:adjustRightInd w:val="0"/>
        <w:spacing w:after="0" w:line="240" w:lineRule="auto"/>
        <w:jc w:val="center"/>
        <w:rPr>
          <w:rFonts w:eastAsia="Times New Roman" w:cstheme="minorHAnsi"/>
          <w:b/>
          <w:sz w:val="72"/>
          <w:szCs w:val="72"/>
          <w:lang w:val="en-ZA"/>
        </w:rPr>
      </w:pPr>
      <w:r w:rsidRPr="00873BD3">
        <w:rPr>
          <w:rFonts w:eastAsia="Times New Roman" w:cstheme="minorHAnsi"/>
          <w:b/>
          <w:noProof/>
          <w:sz w:val="72"/>
          <w:szCs w:val="72"/>
          <w:lang w:val="en-ZA"/>
        </w:rPr>
        <w:drawing>
          <wp:inline distT="0" distB="0" distL="0" distR="0" wp14:anchorId="2268F3B6" wp14:editId="7E22EEEB">
            <wp:extent cx="926594" cy="1207010"/>
            <wp:effectExtent l="0" t="0" r="6985" b="0"/>
            <wp:docPr id="18637458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45887" name="Picture 18637458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6594" cy="1207010"/>
                    </a:xfrm>
                    <a:prstGeom prst="rect">
                      <a:avLst/>
                    </a:prstGeom>
                  </pic:spPr>
                </pic:pic>
              </a:graphicData>
            </a:graphic>
          </wp:inline>
        </w:drawing>
      </w:r>
    </w:p>
    <w:p w14:paraId="220CEF10" w14:textId="77777777" w:rsidR="0071740B" w:rsidRPr="00873BD3" w:rsidRDefault="0071740B" w:rsidP="0071740B">
      <w:pPr>
        <w:widowControl w:val="0"/>
        <w:tabs>
          <w:tab w:val="center" w:pos="4680"/>
        </w:tabs>
        <w:autoSpaceDE w:val="0"/>
        <w:autoSpaceDN w:val="0"/>
        <w:adjustRightInd w:val="0"/>
        <w:spacing w:after="0" w:line="240" w:lineRule="auto"/>
        <w:jc w:val="center"/>
        <w:rPr>
          <w:rFonts w:eastAsia="Times New Roman" w:cstheme="minorHAnsi"/>
          <w:sz w:val="72"/>
          <w:szCs w:val="72"/>
          <w:lang w:val="en-ZA"/>
        </w:rPr>
      </w:pPr>
    </w:p>
    <w:p w14:paraId="7112EAC5" w14:textId="77777777" w:rsidR="0071740B" w:rsidRDefault="0071740B">
      <w:pPr>
        <w:spacing w:line="259" w:lineRule="auto"/>
        <w:rPr>
          <w:rFonts w:ascii="Calibri" w:hAnsi="Calibri" w:cs="Calibri"/>
          <w:b/>
          <w:bCs/>
          <w:color w:val="B4111A" w:themeColor="accent1"/>
          <w:sz w:val="36"/>
          <w:szCs w:val="36"/>
        </w:rPr>
        <w:sectPr w:rsidR="0071740B" w:rsidSect="00D132AD">
          <w:headerReference w:type="even" r:id="rId13"/>
          <w:headerReference w:type="default" r:id="rId14"/>
          <w:headerReference w:type="first" r:id="rId15"/>
          <w:footerReference w:type="first" r:id="rId16"/>
          <w:pgSz w:w="11907" w:h="16840" w:code="9"/>
          <w:pgMar w:top="1928" w:right="1440" w:bottom="1928" w:left="1440" w:header="851" w:footer="851" w:gutter="0"/>
          <w:pgNumType w:fmt="lowerRoman"/>
          <w:cols w:space="708"/>
          <w:titlePg/>
          <w:docGrid w:linePitch="360"/>
        </w:sectPr>
      </w:pPr>
    </w:p>
    <w:p w14:paraId="3CC4E7F0" w14:textId="13A79371" w:rsidR="00B17DF9" w:rsidRDefault="00B17DF9" w:rsidP="00B17DF9">
      <w:pPr>
        <w:rPr>
          <w:rFonts w:ascii="Calibri" w:hAnsi="Calibri" w:cs="Calibri"/>
          <w:b/>
          <w:bCs/>
          <w:color w:val="B4111A" w:themeColor="accent1"/>
          <w:sz w:val="36"/>
          <w:szCs w:val="36"/>
        </w:rPr>
      </w:pPr>
      <w:r w:rsidRPr="00B17DF9">
        <w:rPr>
          <w:rFonts w:ascii="Calibri" w:hAnsi="Calibri" w:cs="Calibri"/>
          <w:b/>
          <w:bCs/>
          <w:color w:val="B4111A" w:themeColor="accent1"/>
          <w:sz w:val="36"/>
          <w:szCs w:val="36"/>
        </w:rPr>
        <w:lastRenderedPageBreak/>
        <w:t>Table of Contents</w:t>
      </w:r>
    </w:p>
    <w:p w14:paraId="569EE703" w14:textId="77777777" w:rsidR="008A1AAD" w:rsidRPr="00B17DF9" w:rsidRDefault="008A1AAD" w:rsidP="00B17DF9">
      <w:pPr>
        <w:rPr>
          <w:rFonts w:ascii="Calibri" w:hAnsi="Calibri" w:cs="Calibri"/>
          <w:b/>
          <w:bCs/>
          <w:color w:val="B4111A" w:themeColor="accent1"/>
          <w:sz w:val="36"/>
          <w:szCs w:val="36"/>
        </w:rPr>
      </w:pPr>
    </w:p>
    <w:p w14:paraId="25294303" w14:textId="1D2FA041" w:rsidR="008A1AAD" w:rsidRDefault="00C7551E" w:rsidP="008A1AAD">
      <w:pPr>
        <w:pStyle w:val="TOC1"/>
        <w:rPr>
          <w:rFonts w:eastAsiaTheme="minorEastAsia"/>
          <w:sz w:val="24"/>
          <w:szCs w:val="24"/>
        </w:rPr>
      </w:pPr>
      <w:r>
        <w:fldChar w:fldCharType="begin"/>
      </w:r>
      <w:r>
        <w:instrText xml:space="preserve"> TOC \t "MChapterName,1,MH4,1,MH5,2" </w:instrText>
      </w:r>
      <w:r>
        <w:fldChar w:fldCharType="separate"/>
      </w:r>
      <w:r w:rsidR="008A1AAD" w:rsidRPr="00BC497E">
        <w:rPr>
          <w:rFonts w:cstheme="minorHAnsi"/>
        </w:rPr>
        <w:t>PREFACE</w:t>
      </w:r>
      <w:r w:rsidR="008A1AAD">
        <w:tab/>
      </w:r>
      <w:r w:rsidR="008A1AAD">
        <w:fldChar w:fldCharType="begin"/>
      </w:r>
      <w:r w:rsidR="008A1AAD">
        <w:instrText xml:space="preserve"> PAGEREF _Toc178687643 \h </w:instrText>
      </w:r>
      <w:r w:rsidR="008A1AAD">
        <w:fldChar w:fldCharType="separate"/>
      </w:r>
      <w:r w:rsidR="006942EE">
        <w:t>v</w:t>
      </w:r>
      <w:r w:rsidR="008A1AAD">
        <w:fldChar w:fldCharType="end"/>
      </w:r>
    </w:p>
    <w:p w14:paraId="3AFC9FA9" w14:textId="3ABB6E71" w:rsidR="008A1AAD" w:rsidRPr="008A1AAD" w:rsidRDefault="008A1AAD" w:rsidP="008A1AAD">
      <w:pPr>
        <w:pStyle w:val="TOC1"/>
        <w:rPr>
          <w:rFonts w:eastAsiaTheme="minorEastAsia"/>
          <w:sz w:val="24"/>
          <w:szCs w:val="24"/>
        </w:rPr>
      </w:pPr>
      <w:r w:rsidRPr="008A1AAD">
        <w:t>1.</w:t>
      </w:r>
      <w:r w:rsidRPr="008A1AAD">
        <w:rPr>
          <w:rFonts w:eastAsiaTheme="minorEastAsia"/>
          <w:sz w:val="24"/>
          <w:szCs w:val="24"/>
        </w:rPr>
        <w:tab/>
      </w:r>
      <w:r w:rsidRPr="008A1AAD">
        <w:t>Overview</w:t>
      </w:r>
      <w:r w:rsidRPr="008A1AAD">
        <w:tab/>
      </w:r>
      <w:r w:rsidRPr="008A1AAD">
        <w:fldChar w:fldCharType="begin"/>
      </w:r>
      <w:r w:rsidRPr="008A1AAD">
        <w:instrText xml:space="preserve"> PAGEREF _Toc178687644 \h </w:instrText>
      </w:r>
      <w:r w:rsidRPr="008A1AAD">
        <w:fldChar w:fldCharType="separate"/>
      </w:r>
      <w:r w:rsidR="006942EE">
        <w:t>1</w:t>
      </w:r>
      <w:r w:rsidRPr="008A1AAD">
        <w:fldChar w:fldCharType="end"/>
      </w:r>
    </w:p>
    <w:p w14:paraId="0885DA82" w14:textId="6F244D1A" w:rsidR="008A1AAD" w:rsidRDefault="008A1AAD">
      <w:pPr>
        <w:pStyle w:val="TOC2"/>
        <w:rPr>
          <w:rFonts w:eastAsiaTheme="minorEastAsia"/>
          <w:noProof/>
          <w:sz w:val="24"/>
          <w:szCs w:val="24"/>
        </w:rPr>
      </w:pPr>
      <w:r>
        <w:rPr>
          <w:noProof/>
        </w:rPr>
        <w:t>1.1</w:t>
      </w:r>
      <w:r>
        <w:rPr>
          <w:rFonts w:eastAsiaTheme="minorEastAsia"/>
          <w:noProof/>
          <w:sz w:val="24"/>
          <w:szCs w:val="24"/>
        </w:rPr>
        <w:tab/>
      </w:r>
      <w:r>
        <w:rPr>
          <w:noProof/>
        </w:rPr>
        <w:t>Rationale</w:t>
      </w:r>
      <w:r>
        <w:rPr>
          <w:noProof/>
        </w:rPr>
        <w:tab/>
      </w:r>
      <w:r>
        <w:rPr>
          <w:noProof/>
        </w:rPr>
        <w:fldChar w:fldCharType="begin"/>
      </w:r>
      <w:r>
        <w:rPr>
          <w:noProof/>
        </w:rPr>
        <w:instrText xml:space="preserve"> PAGEREF _Toc178687645 \h </w:instrText>
      </w:r>
      <w:r>
        <w:rPr>
          <w:noProof/>
        </w:rPr>
      </w:r>
      <w:r>
        <w:rPr>
          <w:noProof/>
        </w:rPr>
        <w:fldChar w:fldCharType="separate"/>
      </w:r>
      <w:r w:rsidR="006942EE">
        <w:rPr>
          <w:noProof/>
        </w:rPr>
        <w:t>1</w:t>
      </w:r>
      <w:r>
        <w:rPr>
          <w:noProof/>
        </w:rPr>
        <w:fldChar w:fldCharType="end"/>
      </w:r>
    </w:p>
    <w:p w14:paraId="121C64FA" w14:textId="74756580" w:rsidR="008A1AAD" w:rsidRDefault="008A1AAD">
      <w:pPr>
        <w:pStyle w:val="TOC2"/>
        <w:rPr>
          <w:rFonts w:eastAsiaTheme="minorEastAsia"/>
          <w:noProof/>
          <w:sz w:val="24"/>
          <w:szCs w:val="24"/>
        </w:rPr>
      </w:pPr>
      <w:r>
        <w:rPr>
          <w:noProof/>
        </w:rPr>
        <w:t>1.2</w:t>
      </w:r>
      <w:r>
        <w:rPr>
          <w:rFonts w:eastAsiaTheme="minorEastAsia"/>
          <w:noProof/>
          <w:sz w:val="24"/>
          <w:szCs w:val="24"/>
        </w:rPr>
        <w:tab/>
      </w:r>
      <w:r>
        <w:rPr>
          <w:noProof/>
        </w:rPr>
        <w:t>Application of the GloBE Model Rules</w:t>
      </w:r>
      <w:r>
        <w:rPr>
          <w:noProof/>
        </w:rPr>
        <w:tab/>
      </w:r>
      <w:r>
        <w:rPr>
          <w:noProof/>
        </w:rPr>
        <w:fldChar w:fldCharType="begin"/>
      </w:r>
      <w:r>
        <w:rPr>
          <w:noProof/>
        </w:rPr>
        <w:instrText xml:space="preserve"> PAGEREF _Toc178687646 \h </w:instrText>
      </w:r>
      <w:r>
        <w:rPr>
          <w:noProof/>
        </w:rPr>
      </w:r>
      <w:r>
        <w:rPr>
          <w:noProof/>
        </w:rPr>
        <w:fldChar w:fldCharType="separate"/>
      </w:r>
      <w:r w:rsidR="006942EE">
        <w:rPr>
          <w:noProof/>
        </w:rPr>
        <w:t>3</w:t>
      </w:r>
      <w:r>
        <w:rPr>
          <w:noProof/>
        </w:rPr>
        <w:fldChar w:fldCharType="end"/>
      </w:r>
    </w:p>
    <w:p w14:paraId="665A83B0" w14:textId="2FA119CC" w:rsidR="008A1AAD" w:rsidRDefault="008A1AAD" w:rsidP="008A1AAD">
      <w:pPr>
        <w:pStyle w:val="TOC1"/>
        <w:rPr>
          <w:rFonts w:eastAsiaTheme="minorEastAsia"/>
          <w:sz w:val="24"/>
          <w:szCs w:val="24"/>
        </w:rPr>
      </w:pPr>
      <w:r>
        <w:t>2.</w:t>
      </w:r>
      <w:r>
        <w:rPr>
          <w:rFonts w:eastAsiaTheme="minorEastAsia"/>
          <w:sz w:val="24"/>
          <w:szCs w:val="24"/>
        </w:rPr>
        <w:tab/>
      </w:r>
      <w:r>
        <w:t>income inclusion rule</w:t>
      </w:r>
      <w:r>
        <w:tab/>
      </w:r>
      <w:r>
        <w:fldChar w:fldCharType="begin"/>
      </w:r>
      <w:r>
        <w:instrText xml:space="preserve"> PAGEREF _Toc178687647 \h </w:instrText>
      </w:r>
      <w:r>
        <w:fldChar w:fldCharType="separate"/>
      </w:r>
      <w:r w:rsidR="006942EE">
        <w:t>6</w:t>
      </w:r>
      <w:r>
        <w:fldChar w:fldCharType="end"/>
      </w:r>
    </w:p>
    <w:p w14:paraId="397AF1F8" w14:textId="65387990" w:rsidR="008A1AAD" w:rsidRDefault="008A1AAD" w:rsidP="008A1AAD">
      <w:pPr>
        <w:pStyle w:val="TOC1"/>
        <w:rPr>
          <w:rFonts w:eastAsiaTheme="minorEastAsia"/>
          <w:sz w:val="24"/>
          <w:szCs w:val="24"/>
        </w:rPr>
      </w:pPr>
      <w:r>
        <w:t>3.</w:t>
      </w:r>
      <w:r>
        <w:rPr>
          <w:rFonts w:eastAsiaTheme="minorEastAsia"/>
          <w:sz w:val="24"/>
          <w:szCs w:val="24"/>
        </w:rPr>
        <w:tab/>
      </w:r>
      <w:r>
        <w:t>domestic minimum top-up tax</w:t>
      </w:r>
      <w:r>
        <w:tab/>
      </w:r>
      <w:r>
        <w:fldChar w:fldCharType="begin"/>
      </w:r>
      <w:r>
        <w:instrText xml:space="preserve"> PAGEREF _Toc178687648 \h </w:instrText>
      </w:r>
      <w:r>
        <w:fldChar w:fldCharType="separate"/>
      </w:r>
      <w:r w:rsidR="006942EE">
        <w:t>6</w:t>
      </w:r>
      <w:r>
        <w:fldChar w:fldCharType="end"/>
      </w:r>
    </w:p>
    <w:p w14:paraId="3CA19AAD" w14:textId="07F5D9EB" w:rsidR="008A1AAD" w:rsidRDefault="008A1AAD">
      <w:pPr>
        <w:pStyle w:val="TOC2"/>
        <w:rPr>
          <w:rFonts w:eastAsiaTheme="minorEastAsia"/>
          <w:noProof/>
          <w:sz w:val="24"/>
          <w:szCs w:val="24"/>
        </w:rPr>
      </w:pPr>
      <w:r>
        <w:rPr>
          <w:noProof/>
        </w:rPr>
        <w:t>3.1</w:t>
      </w:r>
      <w:r>
        <w:rPr>
          <w:rFonts w:eastAsiaTheme="minorEastAsia"/>
          <w:noProof/>
          <w:sz w:val="24"/>
          <w:szCs w:val="24"/>
        </w:rPr>
        <w:tab/>
      </w:r>
      <w:r>
        <w:rPr>
          <w:noProof/>
        </w:rPr>
        <w:t>Definition of Domestic Minimum Top-up tax (DMTT)</w:t>
      </w:r>
      <w:r>
        <w:rPr>
          <w:noProof/>
        </w:rPr>
        <w:tab/>
      </w:r>
      <w:r>
        <w:rPr>
          <w:noProof/>
        </w:rPr>
        <w:fldChar w:fldCharType="begin"/>
      </w:r>
      <w:r>
        <w:rPr>
          <w:noProof/>
        </w:rPr>
        <w:instrText xml:space="preserve"> PAGEREF _Toc178687649 \h </w:instrText>
      </w:r>
      <w:r>
        <w:rPr>
          <w:noProof/>
        </w:rPr>
      </w:r>
      <w:r>
        <w:rPr>
          <w:noProof/>
        </w:rPr>
        <w:fldChar w:fldCharType="separate"/>
      </w:r>
      <w:r w:rsidR="006942EE">
        <w:rPr>
          <w:noProof/>
        </w:rPr>
        <w:t>6</w:t>
      </w:r>
      <w:r>
        <w:rPr>
          <w:noProof/>
        </w:rPr>
        <w:fldChar w:fldCharType="end"/>
      </w:r>
    </w:p>
    <w:p w14:paraId="1EB7A1B0" w14:textId="3E90F065" w:rsidR="008A1AAD" w:rsidRDefault="008A1AAD">
      <w:pPr>
        <w:pStyle w:val="TOC2"/>
        <w:rPr>
          <w:rFonts w:eastAsiaTheme="minorEastAsia"/>
          <w:noProof/>
          <w:sz w:val="24"/>
          <w:szCs w:val="24"/>
        </w:rPr>
      </w:pPr>
      <w:r>
        <w:rPr>
          <w:noProof/>
        </w:rPr>
        <w:t>3.2</w:t>
      </w:r>
      <w:r>
        <w:rPr>
          <w:rFonts w:eastAsiaTheme="minorEastAsia"/>
          <w:noProof/>
          <w:sz w:val="24"/>
          <w:szCs w:val="24"/>
        </w:rPr>
        <w:tab/>
      </w:r>
      <w:r>
        <w:rPr>
          <w:noProof/>
        </w:rPr>
        <w:t>Tax payable pursuant to DMTT and inapplicable articles in the GloBE Model Rules</w:t>
      </w:r>
      <w:r>
        <w:rPr>
          <w:noProof/>
        </w:rPr>
        <w:tab/>
      </w:r>
      <w:r>
        <w:rPr>
          <w:noProof/>
        </w:rPr>
        <w:fldChar w:fldCharType="begin"/>
      </w:r>
      <w:r>
        <w:rPr>
          <w:noProof/>
        </w:rPr>
        <w:instrText xml:space="preserve"> PAGEREF _Toc178687650 \h </w:instrText>
      </w:r>
      <w:r>
        <w:rPr>
          <w:noProof/>
        </w:rPr>
      </w:r>
      <w:r>
        <w:rPr>
          <w:noProof/>
        </w:rPr>
        <w:fldChar w:fldCharType="separate"/>
      </w:r>
      <w:r w:rsidR="006942EE">
        <w:rPr>
          <w:noProof/>
        </w:rPr>
        <w:t>7</w:t>
      </w:r>
      <w:r>
        <w:rPr>
          <w:noProof/>
        </w:rPr>
        <w:fldChar w:fldCharType="end"/>
      </w:r>
    </w:p>
    <w:p w14:paraId="05C29151" w14:textId="4CB5EED2" w:rsidR="008A1AAD" w:rsidRDefault="008A1AAD">
      <w:pPr>
        <w:pStyle w:val="TOC2"/>
        <w:rPr>
          <w:rFonts w:eastAsiaTheme="minorEastAsia"/>
          <w:noProof/>
          <w:sz w:val="24"/>
          <w:szCs w:val="24"/>
        </w:rPr>
      </w:pPr>
      <w:r>
        <w:rPr>
          <w:noProof/>
        </w:rPr>
        <w:t>3.3</w:t>
      </w:r>
      <w:r>
        <w:rPr>
          <w:rFonts w:eastAsiaTheme="minorEastAsia"/>
          <w:noProof/>
          <w:sz w:val="24"/>
          <w:szCs w:val="24"/>
        </w:rPr>
        <w:tab/>
      </w:r>
      <w:r>
        <w:rPr>
          <w:noProof/>
        </w:rPr>
        <w:t>Computation of Adjusted Covered Taxes</w:t>
      </w:r>
      <w:r>
        <w:rPr>
          <w:noProof/>
        </w:rPr>
        <w:tab/>
      </w:r>
      <w:r>
        <w:rPr>
          <w:noProof/>
        </w:rPr>
        <w:fldChar w:fldCharType="begin"/>
      </w:r>
      <w:r>
        <w:rPr>
          <w:noProof/>
        </w:rPr>
        <w:instrText xml:space="preserve"> PAGEREF _Toc178687651 \h </w:instrText>
      </w:r>
      <w:r>
        <w:rPr>
          <w:noProof/>
        </w:rPr>
      </w:r>
      <w:r>
        <w:rPr>
          <w:noProof/>
        </w:rPr>
        <w:fldChar w:fldCharType="separate"/>
      </w:r>
      <w:r w:rsidR="006942EE">
        <w:rPr>
          <w:noProof/>
        </w:rPr>
        <w:t>9</w:t>
      </w:r>
      <w:r>
        <w:rPr>
          <w:noProof/>
        </w:rPr>
        <w:fldChar w:fldCharType="end"/>
      </w:r>
    </w:p>
    <w:p w14:paraId="144D82A1" w14:textId="2A97FAAA" w:rsidR="008A1AAD" w:rsidRDefault="008A1AAD">
      <w:pPr>
        <w:pStyle w:val="TOC2"/>
        <w:rPr>
          <w:rFonts w:eastAsiaTheme="minorEastAsia"/>
          <w:noProof/>
          <w:sz w:val="24"/>
          <w:szCs w:val="24"/>
        </w:rPr>
      </w:pPr>
      <w:r>
        <w:rPr>
          <w:noProof/>
        </w:rPr>
        <w:t>3.4</w:t>
      </w:r>
      <w:r>
        <w:rPr>
          <w:rFonts w:eastAsiaTheme="minorEastAsia"/>
          <w:noProof/>
          <w:sz w:val="24"/>
          <w:szCs w:val="24"/>
        </w:rPr>
        <w:tab/>
      </w:r>
      <w:r>
        <w:rPr>
          <w:noProof/>
        </w:rPr>
        <w:t>Computation of Top-up Tax</w:t>
      </w:r>
      <w:r>
        <w:rPr>
          <w:noProof/>
        </w:rPr>
        <w:tab/>
      </w:r>
      <w:r>
        <w:rPr>
          <w:noProof/>
        </w:rPr>
        <w:fldChar w:fldCharType="begin"/>
      </w:r>
      <w:r>
        <w:rPr>
          <w:noProof/>
        </w:rPr>
        <w:instrText xml:space="preserve"> PAGEREF _Toc178687652 \h </w:instrText>
      </w:r>
      <w:r>
        <w:rPr>
          <w:noProof/>
        </w:rPr>
      </w:r>
      <w:r>
        <w:rPr>
          <w:noProof/>
        </w:rPr>
        <w:fldChar w:fldCharType="separate"/>
      </w:r>
      <w:r w:rsidR="006942EE">
        <w:rPr>
          <w:noProof/>
        </w:rPr>
        <w:t>9</w:t>
      </w:r>
      <w:r>
        <w:rPr>
          <w:noProof/>
        </w:rPr>
        <w:fldChar w:fldCharType="end"/>
      </w:r>
    </w:p>
    <w:p w14:paraId="7C9928C9" w14:textId="50225477" w:rsidR="008A1AAD" w:rsidRDefault="008A1AAD">
      <w:pPr>
        <w:pStyle w:val="TOC2"/>
        <w:rPr>
          <w:rFonts w:eastAsiaTheme="minorEastAsia"/>
          <w:noProof/>
          <w:sz w:val="24"/>
          <w:szCs w:val="24"/>
        </w:rPr>
      </w:pPr>
      <w:r>
        <w:rPr>
          <w:noProof/>
        </w:rPr>
        <w:t>3.5</w:t>
      </w:r>
      <w:r>
        <w:rPr>
          <w:rFonts w:eastAsiaTheme="minorEastAsia"/>
          <w:noProof/>
          <w:sz w:val="24"/>
          <w:szCs w:val="24"/>
        </w:rPr>
        <w:tab/>
      </w:r>
      <w:r>
        <w:rPr>
          <w:noProof/>
        </w:rPr>
        <w:t>Transitional rules in respect of transition year or later transition year</w:t>
      </w:r>
      <w:r>
        <w:rPr>
          <w:noProof/>
        </w:rPr>
        <w:tab/>
      </w:r>
      <w:r>
        <w:rPr>
          <w:noProof/>
        </w:rPr>
        <w:fldChar w:fldCharType="begin"/>
      </w:r>
      <w:r>
        <w:rPr>
          <w:noProof/>
        </w:rPr>
        <w:instrText xml:space="preserve"> PAGEREF _Toc178687653 \h </w:instrText>
      </w:r>
      <w:r>
        <w:rPr>
          <w:noProof/>
        </w:rPr>
      </w:r>
      <w:r>
        <w:rPr>
          <w:noProof/>
        </w:rPr>
        <w:fldChar w:fldCharType="separate"/>
      </w:r>
      <w:r w:rsidR="006942EE">
        <w:rPr>
          <w:noProof/>
        </w:rPr>
        <w:t>11</w:t>
      </w:r>
      <w:r>
        <w:rPr>
          <w:noProof/>
        </w:rPr>
        <w:fldChar w:fldCharType="end"/>
      </w:r>
    </w:p>
    <w:p w14:paraId="1ABEA01B" w14:textId="7288C6D0" w:rsidR="008A1AAD" w:rsidRDefault="008A1AAD">
      <w:pPr>
        <w:pStyle w:val="TOC2"/>
        <w:rPr>
          <w:rFonts w:eastAsiaTheme="minorEastAsia"/>
          <w:noProof/>
          <w:sz w:val="24"/>
          <w:szCs w:val="24"/>
        </w:rPr>
      </w:pPr>
      <w:r>
        <w:rPr>
          <w:noProof/>
        </w:rPr>
        <w:t>3.6</w:t>
      </w:r>
      <w:r>
        <w:rPr>
          <w:rFonts w:eastAsiaTheme="minorEastAsia"/>
          <w:noProof/>
          <w:sz w:val="24"/>
          <w:szCs w:val="24"/>
        </w:rPr>
        <w:tab/>
      </w:r>
      <w:r>
        <w:rPr>
          <w:noProof/>
        </w:rPr>
        <w:t>Imposition of top-up tax</w:t>
      </w:r>
      <w:r>
        <w:rPr>
          <w:noProof/>
        </w:rPr>
        <w:tab/>
      </w:r>
      <w:r>
        <w:rPr>
          <w:noProof/>
        </w:rPr>
        <w:fldChar w:fldCharType="begin"/>
      </w:r>
      <w:r>
        <w:rPr>
          <w:noProof/>
        </w:rPr>
        <w:instrText xml:space="preserve"> PAGEREF _Toc178687654 \h </w:instrText>
      </w:r>
      <w:r>
        <w:rPr>
          <w:noProof/>
        </w:rPr>
      </w:r>
      <w:r>
        <w:rPr>
          <w:noProof/>
        </w:rPr>
        <w:fldChar w:fldCharType="separate"/>
      </w:r>
      <w:r w:rsidR="006942EE">
        <w:rPr>
          <w:noProof/>
        </w:rPr>
        <w:t>11</w:t>
      </w:r>
      <w:r>
        <w:rPr>
          <w:noProof/>
        </w:rPr>
        <w:fldChar w:fldCharType="end"/>
      </w:r>
    </w:p>
    <w:p w14:paraId="1E10F3AB" w14:textId="2657F1EC" w:rsidR="008A1AAD" w:rsidRDefault="008A1AAD" w:rsidP="008A1AAD">
      <w:pPr>
        <w:pStyle w:val="TOC1"/>
        <w:rPr>
          <w:rFonts w:eastAsiaTheme="minorEastAsia"/>
          <w:sz w:val="24"/>
          <w:szCs w:val="24"/>
        </w:rPr>
      </w:pPr>
      <w:r>
        <w:t>4.</w:t>
      </w:r>
      <w:r>
        <w:rPr>
          <w:rFonts w:eastAsiaTheme="minorEastAsia"/>
          <w:sz w:val="24"/>
          <w:szCs w:val="24"/>
        </w:rPr>
        <w:tab/>
      </w:r>
      <w:r>
        <w:t>EFFECTIVE DATE</w:t>
      </w:r>
      <w:r>
        <w:tab/>
      </w:r>
      <w:r>
        <w:fldChar w:fldCharType="begin"/>
      </w:r>
      <w:r>
        <w:instrText xml:space="preserve"> PAGEREF _Toc178687655 \h </w:instrText>
      </w:r>
      <w:r>
        <w:fldChar w:fldCharType="separate"/>
      </w:r>
      <w:r w:rsidR="006942EE">
        <w:t>14</w:t>
      </w:r>
      <w:r>
        <w:fldChar w:fldCharType="end"/>
      </w:r>
    </w:p>
    <w:p w14:paraId="0B60A205" w14:textId="7906C160" w:rsidR="008A1AAD" w:rsidRDefault="008A1AAD" w:rsidP="008A1AAD">
      <w:pPr>
        <w:pStyle w:val="TOC1"/>
        <w:rPr>
          <w:rFonts w:eastAsiaTheme="minorEastAsia"/>
          <w:sz w:val="24"/>
          <w:szCs w:val="24"/>
        </w:rPr>
      </w:pPr>
      <w:r>
        <w:t>5.</w:t>
      </w:r>
      <w:r>
        <w:rPr>
          <w:rFonts w:eastAsiaTheme="minorEastAsia"/>
          <w:sz w:val="24"/>
          <w:szCs w:val="24"/>
        </w:rPr>
        <w:tab/>
      </w:r>
      <w:r>
        <w:t>CLAUSE BY CLAUSE</w:t>
      </w:r>
      <w:r>
        <w:tab/>
      </w:r>
      <w:r>
        <w:fldChar w:fldCharType="begin"/>
      </w:r>
      <w:r>
        <w:instrText xml:space="preserve"> PAGEREF _Toc178687656 \h </w:instrText>
      </w:r>
      <w:r>
        <w:fldChar w:fldCharType="separate"/>
      </w:r>
      <w:r w:rsidR="006942EE">
        <w:t>14</w:t>
      </w:r>
      <w:r>
        <w:fldChar w:fldCharType="end"/>
      </w:r>
    </w:p>
    <w:p w14:paraId="7F2F4470" w14:textId="15344474" w:rsidR="00B17DF9" w:rsidRPr="00B17DF9" w:rsidRDefault="00C7551E" w:rsidP="00B17DF9">
      <w:r>
        <w:fldChar w:fldCharType="end"/>
      </w:r>
    </w:p>
    <w:p w14:paraId="1C7459A7" w14:textId="77777777" w:rsidR="0071740B" w:rsidRDefault="0071740B" w:rsidP="00B17DF9"/>
    <w:p w14:paraId="37D8FFF1" w14:textId="77777777" w:rsidR="0071740B" w:rsidRDefault="0071740B" w:rsidP="00B17DF9"/>
    <w:p w14:paraId="0BA38900" w14:textId="77777777" w:rsidR="0071740B" w:rsidRDefault="0071740B" w:rsidP="00B17DF9"/>
    <w:p w14:paraId="68160F46" w14:textId="77777777" w:rsidR="0071740B" w:rsidRDefault="0071740B" w:rsidP="00B17DF9"/>
    <w:p w14:paraId="21167A3E" w14:textId="77777777" w:rsidR="0071740B" w:rsidRDefault="0071740B" w:rsidP="00B17DF9"/>
    <w:p w14:paraId="63425770" w14:textId="77777777" w:rsidR="0071740B" w:rsidRDefault="0071740B" w:rsidP="0071740B">
      <w:pPr>
        <w:pStyle w:val="MChapterName"/>
        <w:rPr>
          <w:rFonts w:asciiTheme="minorHAnsi" w:hAnsiTheme="minorHAnsi" w:cstheme="minorHAnsi"/>
          <w:color w:val="auto"/>
          <w:sz w:val="32"/>
          <w:szCs w:val="32"/>
        </w:rPr>
        <w:sectPr w:rsidR="0071740B" w:rsidSect="00D132AD">
          <w:pgSz w:w="11907" w:h="16840" w:code="9"/>
          <w:pgMar w:top="1928" w:right="1440" w:bottom="1928" w:left="1440" w:header="851" w:footer="851" w:gutter="0"/>
          <w:pgNumType w:fmt="lowerRoman"/>
          <w:cols w:space="708"/>
          <w:titlePg/>
          <w:docGrid w:linePitch="360"/>
        </w:sectPr>
      </w:pPr>
      <w:bookmarkStart w:id="0" w:name="_Toc178613725"/>
    </w:p>
    <w:p w14:paraId="2CF7BCCC" w14:textId="77777777" w:rsidR="0071740B" w:rsidRPr="00873BD3" w:rsidRDefault="0071740B" w:rsidP="0071740B">
      <w:pPr>
        <w:pStyle w:val="MChapterName"/>
        <w:rPr>
          <w:rFonts w:asciiTheme="minorHAnsi" w:hAnsiTheme="minorHAnsi" w:cstheme="minorHAnsi"/>
          <w:color w:val="auto"/>
          <w:sz w:val="32"/>
          <w:szCs w:val="32"/>
        </w:rPr>
      </w:pPr>
      <w:bookmarkStart w:id="1" w:name="_Toc178687643"/>
      <w:r w:rsidRPr="00873BD3">
        <w:rPr>
          <w:rFonts w:asciiTheme="minorHAnsi" w:hAnsiTheme="minorHAnsi" w:cstheme="minorHAnsi"/>
          <w:color w:val="auto"/>
          <w:sz w:val="32"/>
          <w:szCs w:val="32"/>
        </w:rPr>
        <w:lastRenderedPageBreak/>
        <w:t>PREFACE</w:t>
      </w:r>
      <w:bookmarkEnd w:id="0"/>
      <w:bookmarkEnd w:id="1"/>
    </w:p>
    <w:p w14:paraId="62BAA75F" w14:textId="77777777" w:rsidR="0071740B" w:rsidRPr="00873BD3" w:rsidRDefault="0071740B" w:rsidP="0071740B">
      <w:pPr>
        <w:pStyle w:val="MParagraph"/>
        <w:ind w:left="0"/>
      </w:pPr>
      <w:r w:rsidRPr="00873BD3">
        <w:t>This Explanatory Memorandum (EM) is aimed at clarifying the implementation of the Global Anti-Base Erosion (</w:t>
      </w:r>
      <w:proofErr w:type="spellStart"/>
      <w:r w:rsidRPr="00873BD3">
        <w:t>GloBE</w:t>
      </w:r>
      <w:proofErr w:type="spellEnd"/>
      <w:r w:rsidRPr="00873BD3">
        <w:t xml:space="preserve">) Model Rules in South Africa. The </w:t>
      </w:r>
      <w:proofErr w:type="spellStart"/>
      <w:r w:rsidRPr="00873BD3">
        <w:t>GloBE</w:t>
      </w:r>
      <w:proofErr w:type="spellEnd"/>
      <w:r w:rsidRPr="00873BD3">
        <w:t xml:space="preserve"> Model Rules are model rules agreed by the Base Erosion and Profit Shifting (BEPS) Inclusive Framework that are designed to be introduced into a jurisdiction’s domestic law and work together with those of other jurisdictions to create a coordinated and comprehensive system of minimum taxation – ensuring that large multinational enterprise groups (MNE Groups) pay a minimum level of tax on their income in respect of every jurisdiction where they operate.   </w:t>
      </w:r>
    </w:p>
    <w:p w14:paraId="67ADE198" w14:textId="77777777" w:rsidR="0071740B" w:rsidRPr="00873BD3" w:rsidRDefault="0071740B" w:rsidP="0071740B">
      <w:pPr>
        <w:pStyle w:val="MParagraph"/>
        <w:ind w:left="0"/>
      </w:pPr>
      <w:r w:rsidRPr="00873BD3">
        <w:t xml:space="preserve">The </w:t>
      </w:r>
      <w:proofErr w:type="spellStart"/>
      <w:r w:rsidRPr="00873BD3">
        <w:t>GloBE</w:t>
      </w:r>
      <w:proofErr w:type="spellEnd"/>
      <w:r w:rsidRPr="00873BD3">
        <w:t xml:space="preserve"> Model Rules were released by the OECD/G20 Inclusive Framework on BEPS in December 2021 and are supported by a Commentary, which was released in March 2022. The Commentary is intended to promote a consistent and common interpretation of the </w:t>
      </w:r>
      <w:proofErr w:type="spellStart"/>
      <w:r w:rsidRPr="00873BD3">
        <w:t>GloBE</w:t>
      </w:r>
      <w:proofErr w:type="spellEnd"/>
      <w:r w:rsidRPr="00873BD3">
        <w:t xml:space="preserve"> Model Rules that will facilitate coordinated outcomes for both tax administrations and MNE Groups. The Inclusive Framework may amend the Commentary from time to time through the release of further Administrative Guidance. </w:t>
      </w:r>
    </w:p>
    <w:p w14:paraId="683583D9" w14:textId="77777777" w:rsidR="0071740B" w:rsidRPr="00873BD3" w:rsidRDefault="0071740B" w:rsidP="0071740B">
      <w:pPr>
        <w:pStyle w:val="MParagraph"/>
        <w:ind w:left="0"/>
        <w:rPr>
          <w:lang w:val="en-NZ"/>
        </w:rPr>
      </w:pPr>
      <w:r w:rsidRPr="00873BD3">
        <w:rPr>
          <w:lang w:val="en-NZ"/>
        </w:rPr>
        <w:t xml:space="preserve">The purpose of implementing the </w:t>
      </w:r>
      <w:proofErr w:type="spellStart"/>
      <w:r w:rsidRPr="00873BD3">
        <w:rPr>
          <w:lang w:val="en-NZ"/>
        </w:rPr>
        <w:t>GloBE</w:t>
      </w:r>
      <w:proofErr w:type="spellEnd"/>
      <w:r w:rsidRPr="00873BD3">
        <w:rPr>
          <w:lang w:val="en-NZ"/>
        </w:rPr>
        <w:t xml:space="preserve"> Model Rules in South Africa is to enable South Africa to impose a multinational top-up tax at a rate of 15 per cent on the excess profits of in-scope MNE Groups. It is proposed that the multinational top-up tax be imposed under: </w:t>
      </w:r>
    </w:p>
    <w:p w14:paraId="4CF6781B" w14:textId="77777777" w:rsidR="0071740B" w:rsidRPr="00873BD3" w:rsidRDefault="0071740B" w:rsidP="0071740B">
      <w:pPr>
        <w:pStyle w:val="MBullet"/>
        <w:ind w:left="284"/>
        <w:rPr>
          <w:lang w:val="en-NZ"/>
        </w:rPr>
      </w:pPr>
      <w:r w:rsidRPr="00873BD3">
        <w:rPr>
          <w:lang w:val="en-NZ"/>
        </w:rPr>
        <w:t xml:space="preserve">an </w:t>
      </w:r>
      <w:bookmarkStart w:id="2" w:name="_Hlk158900552"/>
      <w:r w:rsidRPr="00873BD3">
        <w:rPr>
          <w:lang w:val="en-NZ"/>
        </w:rPr>
        <w:t xml:space="preserve">Income Inclusion Rule </w:t>
      </w:r>
      <w:bookmarkEnd w:id="2"/>
      <w:r w:rsidRPr="00873BD3">
        <w:rPr>
          <w:lang w:val="en-NZ"/>
        </w:rPr>
        <w:t>(IIR) which taxes the domestic entity of an MNE Group on its allocable share of Top-up Tax arising in respect of the low-taxed income of any foreign group company in which it has a direct or indirect ownership interest; and</w:t>
      </w:r>
    </w:p>
    <w:p w14:paraId="266A7BED" w14:textId="77777777" w:rsidR="0071740B" w:rsidRPr="00873BD3" w:rsidRDefault="0071740B" w:rsidP="0071740B">
      <w:pPr>
        <w:pStyle w:val="MBullet"/>
        <w:ind w:left="284"/>
      </w:pPr>
      <w:r w:rsidRPr="00873BD3">
        <w:rPr>
          <w:lang w:val="en-NZ"/>
        </w:rPr>
        <w:t xml:space="preserve">a Domestic Minimum Top-Up Tax (DMTT) which imposes a joint and several tax liability on the domestic entities of an MNE Group for any Top-up Tax arising in respect of low-taxed income of those domestic entities (calculated on an aggregate basis but only with respect to entities located in South Africa). </w:t>
      </w:r>
    </w:p>
    <w:p w14:paraId="5B1AC4AB" w14:textId="62FFC357" w:rsidR="0071740B" w:rsidRDefault="0071740B" w:rsidP="0071740B">
      <w:pPr>
        <w:pStyle w:val="MParagraph"/>
        <w:ind w:left="0"/>
      </w:pPr>
      <w:r w:rsidRPr="00873BD3">
        <w:rPr>
          <w:lang w:val="en-NZ"/>
        </w:rPr>
        <w:t xml:space="preserve">The tax is designed to follow the </w:t>
      </w:r>
      <w:proofErr w:type="spellStart"/>
      <w:r w:rsidRPr="00873BD3">
        <w:rPr>
          <w:lang w:val="en-NZ"/>
        </w:rPr>
        <w:t>GloBE</w:t>
      </w:r>
      <w:proofErr w:type="spellEnd"/>
      <w:r w:rsidRPr="00873BD3">
        <w:rPr>
          <w:lang w:val="en-NZ"/>
        </w:rPr>
        <w:t xml:space="preserve"> Model Rules and Commentary and to be co-ordinated with the same tax in other jurisdictions with effect from 1 January 2024.</w:t>
      </w:r>
    </w:p>
    <w:p w14:paraId="01EAF747" w14:textId="77777777" w:rsidR="0071740B" w:rsidRPr="00B17DF9" w:rsidRDefault="0071740B" w:rsidP="00B17DF9">
      <w:pPr>
        <w:sectPr w:rsidR="0071740B" w:rsidRPr="00B17DF9" w:rsidSect="00D132AD">
          <w:headerReference w:type="first" r:id="rId17"/>
          <w:footerReference w:type="first" r:id="rId18"/>
          <w:pgSz w:w="11907" w:h="16840" w:code="9"/>
          <w:pgMar w:top="1928" w:right="1440" w:bottom="1928" w:left="1440" w:header="851" w:footer="851" w:gutter="0"/>
          <w:pgNumType w:fmt="lowerRoman"/>
          <w:cols w:space="708"/>
          <w:titlePg/>
          <w:docGrid w:linePitch="360"/>
        </w:sectPr>
      </w:pPr>
    </w:p>
    <w:p w14:paraId="5E8FC9D3" w14:textId="4AB1F8FC" w:rsidR="00AC2C89" w:rsidRPr="0060226A" w:rsidRDefault="00B86964" w:rsidP="0060226A">
      <w:pPr>
        <w:pStyle w:val="MH4"/>
      </w:pPr>
      <w:bookmarkStart w:id="3" w:name="_Toc178687644"/>
      <w:r w:rsidRPr="0060226A">
        <w:lastRenderedPageBreak/>
        <w:t>Overview</w:t>
      </w:r>
      <w:bookmarkEnd w:id="3"/>
    </w:p>
    <w:p w14:paraId="4D3E85E2" w14:textId="68968BE1" w:rsidR="003B0EDE" w:rsidRDefault="0060226A" w:rsidP="0060226A">
      <w:pPr>
        <w:pStyle w:val="MH5"/>
      </w:pPr>
      <w:bookmarkStart w:id="4" w:name="_Toc178687645"/>
      <w:r>
        <w:t>Rationale</w:t>
      </w:r>
      <w:bookmarkEnd w:id="4"/>
    </w:p>
    <w:p w14:paraId="02731B0B" w14:textId="77777777" w:rsidR="0060226A" w:rsidRPr="00873BD3" w:rsidRDefault="0060226A" w:rsidP="0060226A">
      <w:pPr>
        <w:pStyle w:val="MParagraph"/>
      </w:pPr>
      <w:r w:rsidRPr="00873BD3">
        <w:t>In October 2021, South Africa joined with over 135 other jurisdictions to agree a two-pillar solution to reform the international taxation rules and ensure that multinational enterprises pay a fair share of tax wherever they operate and generate profits</w:t>
      </w:r>
      <w:r w:rsidRPr="00873BD3">
        <w:rPr>
          <w:vertAlign w:val="superscript"/>
        </w:rPr>
        <w:footnoteReference w:id="1"/>
      </w:r>
      <w:r w:rsidRPr="00873BD3">
        <w:t xml:space="preserve">. The </w:t>
      </w:r>
      <w:proofErr w:type="spellStart"/>
      <w:r w:rsidRPr="00873BD3">
        <w:t>GloBE</w:t>
      </w:r>
      <w:proofErr w:type="spellEnd"/>
      <w:r w:rsidRPr="00873BD3">
        <w:t xml:space="preserve"> Model Rules are one component of this two-pillar solution. </w:t>
      </w:r>
    </w:p>
    <w:p w14:paraId="14E13344" w14:textId="77777777" w:rsidR="0060226A" w:rsidRPr="00873BD3" w:rsidRDefault="0060226A" w:rsidP="0060226A">
      <w:pPr>
        <w:pStyle w:val="MParagraph"/>
      </w:pPr>
      <w:r w:rsidRPr="00873BD3">
        <w:t xml:space="preserve">The </w:t>
      </w:r>
      <w:proofErr w:type="spellStart"/>
      <w:r w:rsidRPr="00873BD3">
        <w:t>GloBE</w:t>
      </w:r>
      <w:proofErr w:type="spellEnd"/>
      <w:r w:rsidRPr="00873BD3">
        <w:t xml:space="preserve"> Model Rules (also known as the global minimum tax) aim to limit the ‘race to the bottom’ for large MNE Groups, where jurisdictions compete to attract mobile income (for example, interest, dividends and royalties) through offering low tax rates and tax incentives. The global minimum tax ensures that any multinational with annual revenue exceeding 750 million Euros will be subject to an effective tax rate of at least 15 per cent, regardless of where its headquarters, operations, sales or profits are located. Implementing the global minimum tax in South Africa will bolster the corporate income tax base.</w:t>
      </w:r>
    </w:p>
    <w:p w14:paraId="1E786903" w14:textId="77777777" w:rsidR="0060226A" w:rsidRPr="00873BD3" w:rsidRDefault="0060226A" w:rsidP="0060226A">
      <w:pPr>
        <w:pStyle w:val="MParagraph"/>
      </w:pPr>
      <w:r w:rsidRPr="00873BD3">
        <w:t xml:space="preserve">The </w:t>
      </w:r>
      <w:proofErr w:type="spellStart"/>
      <w:r w:rsidRPr="00873BD3">
        <w:t>GloBE</w:t>
      </w:r>
      <w:proofErr w:type="spellEnd"/>
      <w:r w:rsidRPr="00873BD3">
        <w:t xml:space="preserve"> Model Rules were developed by members of the Inclusive Framework (IF) and approved by consensus. They were released in December 2021 as model rules</w:t>
      </w:r>
      <w:r w:rsidRPr="00873BD3">
        <w:footnoteReference w:id="2"/>
      </w:r>
      <w:r w:rsidRPr="00873BD3">
        <w:t xml:space="preserve"> which were drafted in the form of a template that jurisdictions can translate into domestic law. The approval of the </w:t>
      </w:r>
      <w:proofErr w:type="spellStart"/>
      <w:r w:rsidRPr="00873BD3">
        <w:t>GloBE</w:t>
      </w:r>
      <w:proofErr w:type="spellEnd"/>
      <w:r w:rsidRPr="00873BD3">
        <w:t xml:space="preserve"> Model Rules was followed by the release of detailed commentary (the Commentary) in March 2022</w:t>
      </w:r>
      <w:r w:rsidRPr="00873BD3">
        <w:footnoteReference w:id="3"/>
      </w:r>
      <w:r w:rsidRPr="00873BD3">
        <w:t>.</w:t>
      </w:r>
    </w:p>
    <w:p w14:paraId="0C615024" w14:textId="77777777" w:rsidR="0060226A" w:rsidRPr="00873BD3" w:rsidRDefault="0060226A" w:rsidP="0060226A">
      <w:pPr>
        <w:pStyle w:val="MParagraph"/>
      </w:pPr>
      <w:r w:rsidRPr="00873BD3">
        <w:t xml:space="preserve">Under the agreement reached in October 2021, a jurisdiction that chooses to implement the </w:t>
      </w:r>
      <w:proofErr w:type="spellStart"/>
      <w:r w:rsidRPr="00873BD3">
        <w:t>GloBE</w:t>
      </w:r>
      <w:proofErr w:type="spellEnd"/>
      <w:r w:rsidRPr="00873BD3">
        <w:t xml:space="preserve"> Model Rules must implement and administer those rules in a way that is consistent with the outcomes provided for under those rules and the associated commentary. Further, to ensure consistent and coordinated outcomes under the rules, the </w:t>
      </w:r>
      <w:proofErr w:type="spellStart"/>
      <w:r w:rsidRPr="00873BD3">
        <w:t>GloBE</w:t>
      </w:r>
      <w:proofErr w:type="spellEnd"/>
      <w:r w:rsidRPr="00873BD3">
        <w:t xml:space="preserve"> Model Rules require an implementing jurisdiction to apply the rules in accordance with any updates to the Commentary that have been agreed by the IF through the release of Agreed Administrative Guidance (including guidance on the application of any safe </w:t>
      </w:r>
      <w:proofErr w:type="spellStart"/>
      <w:r w:rsidRPr="00873BD3">
        <w:t>harbours</w:t>
      </w:r>
      <w:proofErr w:type="spellEnd"/>
      <w:r w:rsidRPr="00873BD3">
        <w:t xml:space="preserve">).  </w:t>
      </w:r>
    </w:p>
    <w:p w14:paraId="0C4C2376" w14:textId="77777777" w:rsidR="0060226A" w:rsidRPr="00873BD3" w:rsidRDefault="0060226A" w:rsidP="0060226A">
      <w:pPr>
        <w:pStyle w:val="MParagraph"/>
      </w:pPr>
      <w:r w:rsidRPr="00873BD3">
        <w:lastRenderedPageBreak/>
        <w:t>The following Administrative Guidance has been released by the Inclusive Framework since March 2022:</w:t>
      </w:r>
    </w:p>
    <w:p w14:paraId="5FF92A0D" w14:textId="77777777" w:rsidR="0060226A" w:rsidRPr="00873BD3" w:rsidRDefault="0060226A" w:rsidP="0060226A">
      <w:pPr>
        <w:pStyle w:val="MBullet"/>
      </w:pPr>
      <w:r w:rsidRPr="00873BD3">
        <w:t xml:space="preserve">OECD (2022), Safe </w:t>
      </w:r>
      <w:proofErr w:type="spellStart"/>
      <w:r w:rsidRPr="00873BD3">
        <w:t>Harbours</w:t>
      </w:r>
      <w:proofErr w:type="spellEnd"/>
      <w:r w:rsidRPr="00873BD3">
        <w:t xml:space="preserve"> and Penalty Relief: Global Anti-Base Erosion Rules (Pillar Two), OECD/G20 Inclusive Framework on BEPS, OECD, Paris. </w:t>
      </w:r>
      <w:hyperlink r:id="rId19" w:history="1">
        <w:r w:rsidRPr="00873BD3">
          <w:rPr>
            <w:rStyle w:val="Hyperlink"/>
            <w:rFonts w:eastAsia="Times New Roman" w:cstheme="minorHAnsi"/>
          </w:rPr>
          <w:t>www.oecd.org/tax/beps/safe-harbours-andpenalty-relief-global-anti-base-erosion-rules-pillar-two.pdf</w:t>
        </w:r>
      </w:hyperlink>
      <w:r w:rsidRPr="00873BD3">
        <w:t>;</w:t>
      </w:r>
    </w:p>
    <w:p w14:paraId="74CF19CC" w14:textId="77777777" w:rsidR="0060226A" w:rsidRPr="00873BD3" w:rsidRDefault="0060226A" w:rsidP="0060226A">
      <w:pPr>
        <w:pStyle w:val="MBullet"/>
      </w:pPr>
      <w:r w:rsidRPr="00873BD3">
        <w:t xml:space="preserve">OECD (2023), Tax Challenges Arising from the </w:t>
      </w:r>
      <w:proofErr w:type="spellStart"/>
      <w:r w:rsidRPr="00873BD3">
        <w:t>Digitalisation</w:t>
      </w:r>
      <w:proofErr w:type="spellEnd"/>
      <w:r w:rsidRPr="00873BD3">
        <w:t xml:space="preserve"> of the Economy – Administrative Guidance on the Global Anti-Base Erosion Model Rules (Pillar Two), OECD/G20 Inclusive Framework on BEPS, OECD, Paris. </w:t>
      </w:r>
      <w:hyperlink r:id="rId20" w:history="1">
        <w:r w:rsidRPr="00873BD3">
          <w:rPr>
            <w:rStyle w:val="Hyperlink"/>
            <w:rFonts w:eastAsia="Times New Roman" w:cstheme="minorHAnsi"/>
          </w:rPr>
          <w:t>www.oecd.org/tax/beps/administrative-guidance-global-anti-base-erosion-rules-pillar-two.pdf</w:t>
        </w:r>
      </w:hyperlink>
      <w:r w:rsidRPr="00873BD3">
        <w:t>;</w:t>
      </w:r>
    </w:p>
    <w:p w14:paraId="481DA896" w14:textId="77777777" w:rsidR="0060226A" w:rsidRPr="00873BD3" w:rsidRDefault="0060226A" w:rsidP="0060226A">
      <w:pPr>
        <w:pStyle w:val="MBullet"/>
      </w:pPr>
      <w:r w:rsidRPr="00873BD3">
        <w:t xml:space="preserve">OECD (2023), Tax Challenges Arising from the </w:t>
      </w:r>
      <w:proofErr w:type="spellStart"/>
      <w:r w:rsidRPr="00873BD3">
        <w:t>Digitalisation</w:t>
      </w:r>
      <w:proofErr w:type="spellEnd"/>
      <w:r w:rsidRPr="00873BD3">
        <w:t xml:space="preserve"> of the Economy – Administrative Guidance on the Global Anti-Base Erosion Model Rules (Pillar Two), July 2023, OECD/G20 Inclusive Framework on BEPS, OECD, Paris, </w:t>
      </w:r>
      <w:hyperlink r:id="rId21" w:history="1">
        <w:r w:rsidRPr="00873BD3">
          <w:rPr>
            <w:rStyle w:val="Hyperlink"/>
            <w:rFonts w:eastAsia="Times New Roman" w:cstheme="minorHAnsi"/>
          </w:rPr>
          <w:t>www.oecd.org/tax/beps/administrative-guidance-global-anti-base-erosionrules-pillar-two-july-2023.pdf</w:t>
        </w:r>
      </w:hyperlink>
      <w:r w:rsidRPr="00873BD3">
        <w:t xml:space="preserve">;  </w:t>
      </w:r>
    </w:p>
    <w:p w14:paraId="34D95789" w14:textId="77777777" w:rsidR="0060226A" w:rsidRPr="00873BD3" w:rsidRDefault="0060226A" w:rsidP="0060226A">
      <w:pPr>
        <w:pStyle w:val="MBullet"/>
      </w:pPr>
      <w:r w:rsidRPr="00873BD3">
        <w:t xml:space="preserve">OECD (2023), Tax Challenges Arising from the </w:t>
      </w:r>
      <w:proofErr w:type="spellStart"/>
      <w:r w:rsidRPr="00873BD3">
        <w:t>Digitalisation</w:t>
      </w:r>
      <w:proofErr w:type="spellEnd"/>
      <w:r w:rsidRPr="00873BD3">
        <w:t xml:space="preserve"> of the Economy – Administrative Guidance on the Global Anti-Base Erosion Model Rules (Pillar Two), December 2023, OECD/G20 Inclusive Framework on BEPS, OECD, Paris, </w:t>
      </w:r>
      <w:hyperlink r:id="rId22" w:history="1">
        <w:r w:rsidRPr="00873BD3">
          <w:rPr>
            <w:rStyle w:val="Hyperlink"/>
            <w:rFonts w:eastAsia="Times New Roman" w:cstheme="minorHAnsi"/>
          </w:rPr>
          <w:t>http://www.oecd.org/tax/beps/administrative-guidance-global-antibase-erosion-rules-pillar-two-december-2023.pdf</w:t>
        </w:r>
      </w:hyperlink>
      <w:r w:rsidRPr="00873BD3">
        <w:t>;</w:t>
      </w:r>
    </w:p>
    <w:p w14:paraId="110002D5" w14:textId="77777777" w:rsidR="0060226A" w:rsidRPr="00873BD3" w:rsidRDefault="0060226A" w:rsidP="0060226A">
      <w:pPr>
        <w:pStyle w:val="MParagraph"/>
      </w:pPr>
      <w:r w:rsidRPr="00873BD3">
        <w:t xml:space="preserve">Further Administrative Guidance may be periodically issued by the IF to provide additional guidance on the interpretation and intended operation of the </w:t>
      </w:r>
      <w:proofErr w:type="spellStart"/>
      <w:r w:rsidRPr="00873BD3">
        <w:t>GloBE</w:t>
      </w:r>
      <w:proofErr w:type="spellEnd"/>
      <w:r w:rsidRPr="00873BD3">
        <w:t xml:space="preserve"> Model Rules (including safe </w:t>
      </w:r>
      <w:proofErr w:type="spellStart"/>
      <w:r w:rsidRPr="00873BD3">
        <w:t>harbours</w:t>
      </w:r>
      <w:proofErr w:type="spellEnd"/>
      <w:r w:rsidRPr="00873BD3">
        <w:t xml:space="preserve">). Future Administrative Guidance may also have the effect of modifying the </w:t>
      </w:r>
      <w:proofErr w:type="spellStart"/>
      <w:r w:rsidRPr="00873BD3">
        <w:t>GloBE</w:t>
      </w:r>
      <w:proofErr w:type="spellEnd"/>
      <w:r w:rsidRPr="00873BD3">
        <w:t xml:space="preserve"> Model Rules.</w:t>
      </w:r>
    </w:p>
    <w:p w14:paraId="4879539C" w14:textId="77777777" w:rsidR="0060226A" w:rsidRPr="00873BD3" w:rsidRDefault="0060226A" w:rsidP="0060226A">
      <w:pPr>
        <w:pStyle w:val="MParagraph"/>
      </w:pPr>
      <w:r w:rsidRPr="00873BD3">
        <w:t xml:space="preserve">To ensure the Republic adheres to its commitment to implement and administer the </w:t>
      </w:r>
      <w:proofErr w:type="spellStart"/>
      <w:r w:rsidRPr="00873BD3">
        <w:t>GloBE</w:t>
      </w:r>
      <w:proofErr w:type="spellEnd"/>
      <w:r w:rsidRPr="00873BD3">
        <w:t xml:space="preserve"> Model Rules consistently with the outcomes provided for under the </w:t>
      </w:r>
      <w:proofErr w:type="spellStart"/>
      <w:r w:rsidRPr="00873BD3">
        <w:t>GloBE</w:t>
      </w:r>
      <w:proofErr w:type="spellEnd"/>
      <w:r w:rsidRPr="00873BD3">
        <w:t xml:space="preserve"> Model Rules and the Commentary (as updated from time to time through Administrative Guidance), it has been decided to incorporate the </w:t>
      </w:r>
      <w:proofErr w:type="spellStart"/>
      <w:r w:rsidRPr="00873BD3">
        <w:t>GloBE</w:t>
      </w:r>
      <w:proofErr w:type="spellEnd"/>
      <w:r w:rsidRPr="00873BD3">
        <w:t xml:space="preserve"> Model Rules into the Republic’s legislation by reference to the </w:t>
      </w:r>
      <w:proofErr w:type="spellStart"/>
      <w:r w:rsidRPr="00873BD3">
        <w:t>GloBE</w:t>
      </w:r>
      <w:proofErr w:type="spellEnd"/>
      <w:r w:rsidRPr="00873BD3">
        <w:t xml:space="preserve"> Model Rules, Commentary and Agreed Administrative Guidance. </w:t>
      </w:r>
    </w:p>
    <w:p w14:paraId="61147982" w14:textId="48DF6D9E" w:rsidR="0060226A" w:rsidRDefault="0060226A" w:rsidP="00F80CB8">
      <w:pPr>
        <w:pStyle w:val="MH5"/>
      </w:pPr>
      <w:bookmarkStart w:id="5" w:name="_Toc178687646"/>
      <w:r>
        <w:lastRenderedPageBreak/>
        <w:t xml:space="preserve">Application of the </w:t>
      </w:r>
      <w:proofErr w:type="spellStart"/>
      <w:r>
        <w:t>GloBE</w:t>
      </w:r>
      <w:proofErr w:type="spellEnd"/>
      <w:r>
        <w:t xml:space="preserve"> Model Rules</w:t>
      </w:r>
      <w:bookmarkEnd w:id="5"/>
    </w:p>
    <w:p w14:paraId="0CEFAFFB" w14:textId="77777777" w:rsidR="00672AD5" w:rsidRPr="00873BD3" w:rsidRDefault="00672AD5" w:rsidP="00F80CB8">
      <w:pPr>
        <w:pStyle w:val="ListParagraph"/>
        <w:keepNext/>
        <w:keepLines/>
        <w:numPr>
          <w:ilvl w:val="0"/>
          <w:numId w:val="6"/>
        </w:numPr>
        <w:spacing w:line="259" w:lineRule="auto"/>
        <w:ind w:left="1418" w:hanging="425"/>
        <w:jc w:val="both"/>
        <w:rPr>
          <w:rFonts w:eastAsia="Times New Roman" w:cstheme="minorHAnsi"/>
          <w:b/>
          <w:bCs/>
          <w:i/>
          <w:iCs/>
          <w:lang w:val="en-GB"/>
        </w:rPr>
      </w:pPr>
      <w:bookmarkStart w:id="6" w:name="_Hlk158735120"/>
      <w:r w:rsidRPr="00873BD3">
        <w:rPr>
          <w:rFonts w:eastAsia="Times New Roman" w:cstheme="minorHAnsi"/>
          <w:b/>
          <w:bCs/>
          <w:lang w:val="en-GB"/>
        </w:rPr>
        <w:t>Clarifying the application of amendments to the Commentary and Administrative Guidance</w:t>
      </w:r>
      <w:bookmarkStart w:id="7" w:name="_Hlk158906670"/>
    </w:p>
    <w:bookmarkEnd w:id="6"/>
    <w:bookmarkEnd w:id="7"/>
    <w:p w14:paraId="623ED93E" w14:textId="77777777" w:rsidR="00672AD5" w:rsidRPr="00873BD3" w:rsidRDefault="00672AD5" w:rsidP="00672AD5">
      <w:pPr>
        <w:pStyle w:val="MParagraph"/>
        <w:ind w:left="1418"/>
        <w:rPr>
          <w:lang w:val="en-NZ"/>
        </w:rPr>
      </w:pPr>
      <w:r w:rsidRPr="00873BD3">
        <w:rPr>
          <w:lang w:val="en-NZ"/>
        </w:rPr>
        <w:t>The current wording of the Draft Bill proposes to adopt an ambulatory approach</w:t>
      </w:r>
      <w:r w:rsidRPr="00873BD3">
        <w:rPr>
          <w:rStyle w:val="FootnoteReference"/>
          <w:rFonts w:eastAsia="Times New Roman" w:cstheme="minorHAnsi"/>
          <w:lang w:val="en-NZ"/>
        </w:rPr>
        <w:footnoteReference w:id="4"/>
      </w:r>
      <w:r w:rsidRPr="00873BD3">
        <w:rPr>
          <w:lang w:val="en-NZ"/>
        </w:rPr>
        <w:t xml:space="preserve"> to applying the </w:t>
      </w:r>
      <w:proofErr w:type="spellStart"/>
      <w:r w:rsidRPr="00873BD3">
        <w:rPr>
          <w:lang w:val="en-NZ"/>
        </w:rPr>
        <w:t>GloBE</w:t>
      </w:r>
      <w:proofErr w:type="spellEnd"/>
      <w:r w:rsidRPr="00873BD3">
        <w:rPr>
          <w:lang w:val="en-NZ"/>
        </w:rPr>
        <w:t xml:space="preserve"> Model Rules and Commentary. Under this approach, it is proposed that where applying the </w:t>
      </w:r>
      <w:proofErr w:type="spellStart"/>
      <w:r w:rsidRPr="00873BD3">
        <w:rPr>
          <w:lang w:val="en-NZ"/>
        </w:rPr>
        <w:t>GloBE</w:t>
      </w:r>
      <w:proofErr w:type="spellEnd"/>
      <w:r w:rsidRPr="00873BD3">
        <w:rPr>
          <w:lang w:val="en-NZ"/>
        </w:rPr>
        <w:t xml:space="preserve"> Model Rules and </w:t>
      </w:r>
      <w:r w:rsidRPr="00873BD3">
        <w:rPr>
          <w:lang w:val="en-GB"/>
        </w:rPr>
        <w:t>Commentary,</w:t>
      </w:r>
      <w:r w:rsidRPr="00873BD3" w:rsidDel="0067564F">
        <w:rPr>
          <w:lang w:val="en-NZ"/>
        </w:rPr>
        <w:t xml:space="preserve"> </w:t>
      </w:r>
      <w:r w:rsidRPr="00873BD3">
        <w:rPr>
          <w:lang w:val="en-NZ"/>
        </w:rPr>
        <w:t xml:space="preserve">the most recent version of the Commentary will apply (updated by any Administrative Guidance that has been published before the start of the fiscal year) in respect of calculations that are being performed. This ambulatory treatment will ensure consistent application of the </w:t>
      </w:r>
      <w:proofErr w:type="spellStart"/>
      <w:r w:rsidRPr="00873BD3">
        <w:rPr>
          <w:lang w:val="en-NZ"/>
        </w:rPr>
        <w:t>GloBE</w:t>
      </w:r>
      <w:proofErr w:type="spellEnd"/>
      <w:r w:rsidRPr="00873BD3">
        <w:rPr>
          <w:lang w:val="en-NZ"/>
        </w:rPr>
        <w:t xml:space="preserve"> rules in line with the policy intention. </w:t>
      </w:r>
      <w:bookmarkStart w:id="8" w:name="_Hlk158750118"/>
    </w:p>
    <w:p w14:paraId="20210E0C" w14:textId="77777777" w:rsidR="00672AD5" w:rsidRPr="00873BD3" w:rsidRDefault="00672AD5" w:rsidP="00672AD5">
      <w:pPr>
        <w:pStyle w:val="ListParagraph"/>
        <w:numPr>
          <w:ilvl w:val="0"/>
          <w:numId w:val="6"/>
        </w:numPr>
        <w:spacing w:line="259" w:lineRule="auto"/>
        <w:ind w:left="1418" w:hanging="425"/>
        <w:jc w:val="both"/>
        <w:rPr>
          <w:rFonts w:eastAsia="Times New Roman" w:cstheme="minorHAnsi"/>
          <w:b/>
          <w:bCs/>
          <w:lang w:val="en-GB"/>
        </w:rPr>
      </w:pPr>
      <w:r w:rsidRPr="00873BD3">
        <w:rPr>
          <w:rFonts w:eastAsia="Times New Roman" w:cstheme="minorHAnsi"/>
          <w:b/>
          <w:bCs/>
          <w:lang w:val="en-GB"/>
        </w:rPr>
        <w:t xml:space="preserve">Interpretation of the </w:t>
      </w:r>
      <w:proofErr w:type="spellStart"/>
      <w:r w:rsidRPr="00873BD3">
        <w:rPr>
          <w:rFonts w:eastAsia="Times New Roman" w:cstheme="minorHAnsi"/>
          <w:b/>
          <w:bCs/>
          <w:lang w:val="en-GB"/>
        </w:rPr>
        <w:t>GloBE</w:t>
      </w:r>
      <w:proofErr w:type="spellEnd"/>
      <w:r w:rsidRPr="00873BD3">
        <w:rPr>
          <w:rFonts w:eastAsia="Times New Roman" w:cstheme="minorHAnsi"/>
          <w:b/>
          <w:bCs/>
          <w:lang w:val="en-GB"/>
        </w:rPr>
        <w:t xml:space="preserve"> Model Rules</w:t>
      </w:r>
    </w:p>
    <w:bookmarkEnd w:id="8"/>
    <w:p w14:paraId="2F2492C4" w14:textId="77777777" w:rsidR="00672AD5" w:rsidRPr="00873BD3" w:rsidRDefault="00672AD5" w:rsidP="00672AD5">
      <w:pPr>
        <w:pStyle w:val="MParagraph"/>
        <w:ind w:left="1418"/>
        <w:rPr>
          <w:lang w:val="en-NZ"/>
        </w:rPr>
      </w:pPr>
      <w:r w:rsidRPr="00873BD3">
        <w:rPr>
          <w:lang w:val="en-NZ"/>
        </w:rPr>
        <w:t xml:space="preserve">The proposed wording provides that the </w:t>
      </w:r>
      <w:proofErr w:type="spellStart"/>
      <w:r w:rsidRPr="00873BD3">
        <w:rPr>
          <w:lang w:val="en-NZ"/>
        </w:rPr>
        <w:t>GloBE</w:t>
      </w:r>
      <w:proofErr w:type="spellEnd"/>
      <w:r w:rsidRPr="00873BD3">
        <w:rPr>
          <w:lang w:val="en-NZ"/>
        </w:rPr>
        <w:t xml:space="preserve"> Model Rules are treated as applying “consistently with” the most recent Commentary and Administrative Guidance. The policy intention is that the Model Rules must be interpreted in accordance with the Commentary and Administrative Guidance. Where there are inconsistencies, the Commentary and Administrative Guidance should modify or override the </w:t>
      </w:r>
      <w:proofErr w:type="spellStart"/>
      <w:r w:rsidRPr="00873BD3">
        <w:rPr>
          <w:lang w:val="en-NZ"/>
        </w:rPr>
        <w:t>GloBE</w:t>
      </w:r>
      <w:proofErr w:type="spellEnd"/>
      <w:r w:rsidRPr="00873BD3">
        <w:rPr>
          <w:lang w:val="en-NZ"/>
        </w:rPr>
        <w:t xml:space="preserve"> Model Rules. </w:t>
      </w:r>
    </w:p>
    <w:p w14:paraId="291F29B8" w14:textId="77777777" w:rsidR="00672AD5" w:rsidRPr="00873BD3" w:rsidRDefault="00672AD5" w:rsidP="00672AD5">
      <w:pPr>
        <w:pStyle w:val="ListParagraph"/>
        <w:numPr>
          <w:ilvl w:val="0"/>
          <w:numId w:val="6"/>
        </w:numPr>
        <w:spacing w:line="259" w:lineRule="auto"/>
        <w:ind w:left="1418" w:hanging="425"/>
        <w:jc w:val="both"/>
        <w:rPr>
          <w:rFonts w:eastAsia="Times New Roman" w:cstheme="minorHAnsi"/>
          <w:b/>
          <w:bCs/>
          <w:lang w:val="en-GB"/>
        </w:rPr>
      </w:pPr>
      <w:bookmarkStart w:id="9" w:name="_Hlk158750448"/>
      <w:r w:rsidRPr="00873BD3">
        <w:rPr>
          <w:rFonts w:eastAsia="Times New Roman" w:cstheme="minorHAnsi"/>
          <w:b/>
          <w:bCs/>
          <w:lang w:val="en-GB"/>
        </w:rPr>
        <w:t xml:space="preserve">Entities that are in-scope for the </w:t>
      </w:r>
      <w:proofErr w:type="spellStart"/>
      <w:r w:rsidRPr="00873BD3">
        <w:rPr>
          <w:rFonts w:eastAsia="Times New Roman" w:cstheme="minorHAnsi"/>
          <w:b/>
          <w:bCs/>
          <w:lang w:val="en-GB"/>
        </w:rPr>
        <w:t>GloBE</w:t>
      </w:r>
      <w:proofErr w:type="spellEnd"/>
      <w:r w:rsidRPr="00873BD3">
        <w:rPr>
          <w:rFonts w:eastAsia="Times New Roman" w:cstheme="minorHAnsi"/>
          <w:b/>
          <w:bCs/>
          <w:lang w:val="en-GB"/>
        </w:rPr>
        <w:t xml:space="preserve"> Model Rules </w:t>
      </w:r>
    </w:p>
    <w:bookmarkEnd w:id="9"/>
    <w:p w14:paraId="2B903A62" w14:textId="77777777" w:rsidR="00672AD5" w:rsidRPr="00873BD3" w:rsidRDefault="00672AD5" w:rsidP="00672AD5">
      <w:pPr>
        <w:pStyle w:val="MParagraph"/>
        <w:ind w:left="1418"/>
        <w:rPr>
          <w:lang w:val="en-NZ"/>
        </w:rPr>
      </w:pPr>
      <w:r w:rsidRPr="00873BD3">
        <w:rPr>
          <w:lang w:val="en-NZ"/>
        </w:rPr>
        <w:t xml:space="preserve">The </w:t>
      </w:r>
      <w:proofErr w:type="spellStart"/>
      <w:r w:rsidRPr="00873BD3">
        <w:rPr>
          <w:lang w:val="en-NZ"/>
        </w:rPr>
        <w:t>GloBE</w:t>
      </w:r>
      <w:proofErr w:type="spellEnd"/>
      <w:r w:rsidRPr="00873BD3">
        <w:rPr>
          <w:lang w:val="en-NZ"/>
        </w:rPr>
        <w:t xml:space="preserve"> Model Rules apply to MNE Groups that have a consolidated annual revenue of at least 750 million Euros in at least two of the four fiscal years immediately preceding the tested fiscal year. The fiscal year is the period covered by the MNE Group’s consolidated financial statements. </w:t>
      </w:r>
    </w:p>
    <w:p w14:paraId="571C8077" w14:textId="77777777" w:rsidR="00672AD5" w:rsidRPr="00873BD3" w:rsidRDefault="00672AD5" w:rsidP="00672AD5">
      <w:pPr>
        <w:pStyle w:val="ListParagraph"/>
        <w:numPr>
          <w:ilvl w:val="0"/>
          <w:numId w:val="6"/>
        </w:numPr>
        <w:spacing w:line="259" w:lineRule="auto"/>
        <w:ind w:left="1418" w:hanging="425"/>
        <w:jc w:val="both"/>
        <w:rPr>
          <w:rFonts w:eastAsia="Times New Roman" w:cstheme="minorHAnsi"/>
          <w:b/>
          <w:bCs/>
          <w:lang w:val="en-GB"/>
        </w:rPr>
      </w:pPr>
      <w:bookmarkStart w:id="10" w:name="_Hlk158750981"/>
      <w:r w:rsidRPr="00873BD3">
        <w:rPr>
          <w:rFonts w:eastAsia="Times New Roman" w:cstheme="minorHAnsi"/>
          <w:b/>
          <w:bCs/>
          <w:lang w:val="en-GB"/>
        </w:rPr>
        <w:t xml:space="preserve">MNE group </w:t>
      </w:r>
    </w:p>
    <w:bookmarkEnd w:id="10"/>
    <w:p w14:paraId="7B793E47" w14:textId="77777777" w:rsidR="00672AD5" w:rsidRPr="00873BD3" w:rsidRDefault="00672AD5" w:rsidP="00672AD5">
      <w:pPr>
        <w:pStyle w:val="MParagraph"/>
        <w:ind w:left="1418"/>
        <w:rPr>
          <w:lang w:val="en-NZ"/>
        </w:rPr>
      </w:pPr>
      <w:r w:rsidRPr="00873BD3">
        <w:rPr>
          <w:lang w:val="en-NZ"/>
        </w:rPr>
        <w:t>An ‘MNE Group’ is a group with at least one entity or permanent establishment that is not located in the jurisdiction of the UPE. A member of an MNE Group (including a permanent establishment) is referred to as a ‘Constituent Entity’. The MNE Group’s Consolidated Financial Statements are used to determine what entities are within the group.</w:t>
      </w:r>
    </w:p>
    <w:p w14:paraId="75571CF4" w14:textId="77777777" w:rsidR="00672AD5" w:rsidRPr="00873BD3" w:rsidRDefault="00672AD5" w:rsidP="00672AD5">
      <w:pPr>
        <w:pStyle w:val="MParagraph"/>
        <w:ind w:left="1418"/>
        <w:rPr>
          <w:lang w:val="en-NZ"/>
        </w:rPr>
      </w:pPr>
      <w:r w:rsidRPr="00873BD3">
        <w:rPr>
          <w:lang w:val="en-NZ"/>
        </w:rPr>
        <w:lastRenderedPageBreak/>
        <w:t>The Ultimate Parent Entity (UPE) of an MNE group is the entity that owns directly or indirectly a controlling interest in any other group entity but is not controlled directly or indirectly by another group entity. The identity of the UPE is important because the IIR is applied at the UPE level if the UPE’s jurisdiction has implemented a Qualified IIR.</w:t>
      </w:r>
    </w:p>
    <w:p w14:paraId="29FEC3E3" w14:textId="77777777" w:rsidR="00672AD5" w:rsidRPr="00873BD3" w:rsidRDefault="00672AD5" w:rsidP="00672AD5">
      <w:pPr>
        <w:pStyle w:val="ListParagraph"/>
        <w:numPr>
          <w:ilvl w:val="0"/>
          <w:numId w:val="6"/>
        </w:numPr>
        <w:spacing w:line="259" w:lineRule="auto"/>
        <w:ind w:left="1418" w:hanging="425"/>
        <w:jc w:val="both"/>
        <w:rPr>
          <w:rFonts w:eastAsia="Times New Roman" w:cstheme="minorHAnsi"/>
          <w:b/>
          <w:bCs/>
          <w:lang w:val="en-GB"/>
        </w:rPr>
      </w:pPr>
      <w:bookmarkStart w:id="11" w:name="_Hlk158751742"/>
      <w:r w:rsidRPr="00873BD3">
        <w:rPr>
          <w:rFonts w:eastAsia="Times New Roman" w:cstheme="minorHAnsi"/>
          <w:b/>
          <w:bCs/>
          <w:lang w:val="en-GB"/>
        </w:rPr>
        <w:t xml:space="preserve">Excluded entities  </w:t>
      </w:r>
    </w:p>
    <w:bookmarkEnd w:id="11"/>
    <w:p w14:paraId="2DADB00F" w14:textId="77777777" w:rsidR="00672AD5" w:rsidRPr="00873BD3" w:rsidRDefault="00672AD5" w:rsidP="00672AD5">
      <w:pPr>
        <w:pStyle w:val="MParagraph"/>
        <w:ind w:left="1418"/>
        <w:rPr>
          <w:lang w:val="en-NZ"/>
        </w:rPr>
      </w:pPr>
      <w:r w:rsidRPr="00873BD3">
        <w:rPr>
          <w:lang w:val="en-NZ"/>
        </w:rPr>
        <w:t xml:space="preserve">The following entities are excluded from the </w:t>
      </w:r>
      <w:proofErr w:type="spellStart"/>
      <w:r w:rsidRPr="00873BD3">
        <w:rPr>
          <w:lang w:val="en-NZ"/>
        </w:rPr>
        <w:t>GloBE</w:t>
      </w:r>
      <w:proofErr w:type="spellEnd"/>
      <w:r w:rsidRPr="00873BD3">
        <w:rPr>
          <w:lang w:val="en-NZ"/>
        </w:rPr>
        <w:t xml:space="preserve"> Model Rules: </w:t>
      </w:r>
    </w:p>
    <w:p w14:paraId="7B480C0F" w14:textId="77777777" w:rsidR="00672AD5" w:rsidRPr="00873BD3" w:rsidRDefault="00672AD5" w:rsidP="00672AD5">
      <w:pPr>
        <w:pStyle w:val="MBullet"/>
        <w:ind w:left="1701"/>
        <w:rPr>
          <w:lang w:val="en-NZ"/>
        </w:rPr>
      </w:pPr>
      <w:r w:rsidRPr="00873BD3">
        <w:rPr>
          <w:lang w:val="en-NZ"/>
        </w:rPr>
        <w:t xml:space="preserve">Governmental </w:t>
      </w:r>
      <w:proofErr w:type="gramStart"/>
      <w:r w:rsidRPr="00873BD3">
        <w:rPr>
          <w:lang w:val="en-NZ"/>
        </w:rPr>
        <w:t>entities;</w:t>
      </w:r>
      <w:proofErr w:type="gramEnd"/>
      <w:r w:rsidRPr="00873BD3">
        <w:rPr>
          <w:lang w:val="en-NZ"/>
        </w:rPr>
        <w:t xml:space="preserve"> </w:t>
      </w:r>
    </w:p>
    <w:p w14:paraId="160388C6" w14:textId="77777777" w:rsidR="00672AD5" w:rsidRPr="00873BD3" w:rsidRDefault="00672AD5" w:rsidP="00672AD5">
      <w:pPr>
        <w:pStyle w:val="MBullet"/>
        <w:ind w:left="1701"/>
        <w:rPr>
          <w:lang w:val="en-NZ"/>
        </w:rPr>
      </w:pPr>
      <w:r w:rsidRPr="00873BD3">
        <w:rPr>
          <w:lang w:val="en-NZ"/>
        </w:rPr>
        <w:t xml:space="preserve">International </w:t>
      </w:r>
      <w:proofErr w:type="gramStart"/>
      <w:r w:rsidRPr="00873BD3">
        <w:rPr>
          <w:lang w:val="en-NZ"/>
        </w:rPr>
        <w:t>organisations;</w:t>
      </w:r>
      <w:proofErr w:type="gramEnd"/>
      <w:r w:rsidRPr="00873BD3">
        <w:rPr>
          <w:lang w:val="en-NZ"/>
        </w:rPr>
        <w:t xml:space="preserve"> </w:t>
      </w:r>
    </w:p>
    <w:p w14:paraId="20A2C802" w14:textId="77777777" w:rsidR="00672AD5" w:rsidRPr="00873BD3" w:rsidRDefault="00672AD5" w:rsidP="00672AD5">
      <w:pPr>
        <w:pStyle w:val="MBullet"/>
        <w:ind w:left="1701"/>
        <w:rPr>
          <w:lang w:val="en-NZ"/>
        </w:rPr>
      </w:pPr>
      <w:r w:rsidRPr="00873BD3">
        <w:rPr>
          <w:lang w:val="en-NZ"/>
        </w:rPr>
        <w:t xml:space="preserve">Non-profit </w:t>
      </w:r>
      <w:proofErr w:type="gramStart"/>
      <w:r w:rsidRPr="00873BD3">
        <w:rPr>
          <w:lang w:val="en-NZ"/>
        </w:rPr>
        <w:t>organisations;</w:t>
      </w:r>
      <w:proofErr w:type="gramEnd"/>
    </w:p>
    <w:p w14:paraId="1FDFB16C" w14:textId="77777777" w:rsidR="00672AD5" w:rsidRPr="00873BD3" w:rsidRDefault="00672AD5" w:rsidP="00672AD5">
      <w:pPr>
        <w:pStyle w:val="MBullet"/>
        <w:ind w:left="1701"/>
        <w:rPr>
          <w:lang w:val="en-NZ"/>
        </w:rPr>
      </w:pPr>
      <w:r w:rsidRPr="00873BD3">
        <w:rPr>
          <w:lang w:val="en-NZ"/>
        </w:rPr>
        <w:t xml:space="preserve">Pension </w:t>
      </w:r>
      <w:proofErr w:type="gramStart"/>
      <w:r w:rsidRPr="00873BD3">
        <w:rPr>
          <w:lang w:val="en-NZ"/>
        </w:rPr>
        <w:t>funds;</w:t>
      </w:r>
      <w:proofErr w:type="gramEnd"/>
      <w:r w:rsidRPr="00873BD3">
        <w:rPr>
          <w:lang w:val="en-NZ"/>
        </w:rPr>
        <w:t xml:space="preserve"> </w:t>
      </w:r>
    </w:p>
    <w:p w14:paraId="63A634A7" w14:textId="77777777" w:rsidR="00672AD5" w:rsidRPr="00873BD3" w:rsidRDefault="00672AD5" w:rsidP="00672AD5">
      <w:pPr>
        <w:pStyle w:val="MBullet"/>
        <w:ind w:left="1701"/>
        <w:rPr>
          <w:lang w:val="en-NZ"/>
        </w:rPr>
      </w:pPr>
      <w:r w:rsidRPr="00873BD3">
        <w:rPr>
          <w:lang w:val="en-NZ"/>
        </w:rPr>
        <w:t>Investment funds that are UPEs; and</w:t>
      </w:r>
    </w:p>
    <w:p w14:paraId="7A3EE240" w14:textId="77777777" w:rsidR="00672AD5" w:rsidRPr="00873BD3" w:rsidRDefault="00672AD5" w:rsidP="00672AD5">
      <w:pPr>
        <w:pStyle w:val="MBullet"/>
        <w:ind w:left="1701"/>
        <w:rPr>
          <w:lang w:val="en-NZ"/>
        </w:rPr>
      </w:pPr>
      <w:r w:rsidRPr="00873BD3">
        <w:rPr>
          <w:lang w:val="en-NZ"/>
        </w:rPr>
        <w:t>Real estate investment vehicles that are UPEs.</w:t>
      </w:r>
    </w:p>
    <w:p w14:paraId="597AAD8E" w14:textId="77777777" w:rsidR="00672AD5" w:rsidRPr="00873BD3" w:rsidRDefault="00672AD5" w:rsidP="00672AD5">
      <w:pPr>
        <w:pStyle w:val="MParagraph"/>
        <w:ind w:left="1418"/>
        <w:rPr>
          <w:lang w:val="en-NZ"/>
        </w:rPr>
      </w:pPr>
      <w:r w:rsidRPr="00873BD3">
        <w:rPr>
          <w:lang w:val="en-NZ"/>
        </w:rPr>
        <w:t xml:space="preserve">An entity owned by an Excluded Entity can also qualify as an Excluded Entity if it meets certain criteria relating to its ownership, assets and income. </w:t>
      </w:r>
    </w:p>
    <w:p w14:paraId="5261079D" w14:textId="77777777" w:rsidR="00672AD5" w:rsidRPr="00873BD3" w:rsidRDefault="00672AD5" w:rsidP="00672AD5">
      <w:pPr>
        <w:pStyle w:val="MParagraph"/>
        <w:ind w:left="1418"/>
        <w:rPr>
          <w:lang w:val="en-NZ"/>
        </w:rPr>
      </w:pPr>
      <w:r w:rsidRPr="00873BD3">
        <w:rPr>
          <w:lang w:val="en-NZ"/>
        </w:rPr>
        <w:t xml:space="preserve">Entities that meet the definition of Excluded Entities are not subject to the operative provisions of the </w:t>
      </w:r>
      <w:proofErr w:type="spellStart"/>
      <w:r w:rsidRPr="00873BD3">
        <w:rPr>
          <w:lang w:val="en-NZ"/>
        </w:rPr>
        <w:t>GloBE</w:t>
      </w:r>
      <w:proofErr w:type="spellEnd"/>
      <w:r w:rsidRPr="00873BD3">
        <w:rPr>
          <w:lang w:val="en-NZ"/>
        </w:rPr>
        <w:t xml:space="preserve"> Model Rules. However,</w:t>
      </w:r>
      <w:r w:rsidRPr="00873BD3">
        <w:t xml:space="preserve"> </w:t>
      </w:r>
      <w:r w:rsidRPr="00873BD3">
        <w:rPr>
          <w:lang w:val="en-NZ"/>
        </w:rPr>
        <w:t xml:space="preserve">Excluded Entities are still members of an MNE Group and therefore their revenue is </w:t>
      </w:r>
      <w:proofErr w:type="gramStart"/>
      <w:r w:rsidRPr="00873BD3">
        <w:rPr>
          <w:lang w:val="en-NZ"/>
        </w:rPr>
        <w:t>taken into account</w:t>
      </w:r>
      <w:proofErr w:type="gramEnd"/>
      <w:r w:rsidRPr="00873BD3">
        <w:rPr>
          <w:lang w:val="en-NZ"/>
        </w:rPr>
        <w:t xml:space="preserve"> for purposes of assessing whether the MNE Group meets the revenue threshold of EUR 750 million Euros.  </w:t>
      </w:r>
    </w:p>
    <w:p w14:paraId="6F6DE281" w14:textId="77777777" w:rsidR="00672AD5" w:rsidRPr="00873BD3" w:rsidRDefault="00672AD5" w:rsidP="00672AD5">
      <w:pPr>
        <w:pStyle w:val="ListParagraph"/>
        <w:numPr>
          <w:ilvl w:val="0"/>
          <w:numId w:val="6"/>
        </w:numPr>
        <w:spacing w:line="259" w:lineRule="auto"/>
        <w:ind w:left="1418" w:hanging="425"/>
        <w:jc w:val="both"/>
        <w:rPr>
          <w:rFonts w:eastAsia="Times New Roman" w:cstheme="minorHAnsi"/>
          <w:b/>
          <w:bCs/>
          <w:lang w:val="en-GB"/>
        </w:rPr>
      </w:pPr>
      <w:bookmarkStart w:id="12" w:name="_Hlk158752359"/>
      <w:r w:rsidRPr="00873BD3">
        <w:rPr>
          <w:rFonts w:eastAsia="Times New Roman" w:cstheme="minorHAnsi"/>
          <w:b/>
          <w:bCs/>
          <w:lang w:val="en-GB"/>
        </w:rPr>
        <w:t xml:space="preserve">Application of the </w:t>
      </w:r>
      <w:proofErr w:type="spellStart"/>
      <w:r w:rsidRPr="00873BD3">
        <w:rPr>
          <w:rFonts w:eastAsia="Times New Roman" w:cstheme="minorHAnsi"/>
          <w:b/>
          <w:bCs/>
          <w:lang w:val="en-GB"/>
        </w:rPr>
        <w:t>GloBE</w:t>
      </w:r>
      <w:proofErr w:type="spellEnd"/>
      <w:r w:rsidRPr="00873BD3">
        <w:rPr>
          <w:rFonts w:eastAsia="Times New Roman" w:cstheme="minorHAnsi"/>
          <w:b/>
          <w:bCs/>
          <w:lang w:val="en-GB"/>
        </w:rPr>
        <w:t xml:space="preserve"> Model Rules </w:t>
      </w:r>
    </w:p>
    <w:bookmarkEnd w:id="12"/>
    <w:p w14:paraId="65977236" w14:textId="77777777" w:rsidR="00672AD5" w:rsidRPr="00873BD3" w:rsidRDefault="00672AD5" w:rsidP="00672AD5">
      <w:pPr>
        <w:pStyle w:val="MParagraph"/>
        <w:ind w:left="1418"/>
        <w:rPr>
          <w:lang w:val="en-NZ"/>
        </w:rPr>
      </w:pPr>
      <w:r w:rsidRPr="00873BD3">
        <w:t xml:space="preserve">In general, the </w:t>
      </w:r>
      <w:proofErr w:type="spellStart"/>
      <w:r w:rsidRPr="00873BD3">
        <w:t>GloBE</w:t>
      </w:r>
      <w:proofErr w:type="spellEnd"/>
      <w:r w:rsidRPr="00873BD3">
        <w:t xml:space="preserve"> Model Rules apply a minimum of tax on the excess profits of an in-scope MNE Group </w:t>
      </w:r>
      <w:r w:rsidRPr="00873BD3">
        <w:rPr>
          <w:lang w:val="en-NZ"/>
        </w:rPr>
        <w:t xml:space="preserve">in each jurisdiction where those profits are taxed below the minimum 15 per cent rate. </w:t>
      </w:r>
    </w:p>
    <w:p w14:paraId="7E056B7D" w14:textId="77777777" w:rsidR="00672AD5" w:rsidRDefault="00672AD5" w:rsidP="00672AD5">
      <w:pPr>
        <w:pStyle w:val="MParagraph"/>
        <w:ind w:left="1418"/>
      </w:pPr>
      <w:r w:rsidRPr="00873BD3">
        <w:rPr>
          <w:lang w:val="en-NZ"/>
        </w:rPr>
        <w:t>To determine</w:t>
      </w:r>
      <w:r w:rsidRPr="00873BD3">
        <w:t xml:space="preserve"> whether Top-up Tax is due by an MNE Group, the Effective Tax Rate (‘ETR’) must be computed on a jurisdictional basis (see Part VII). Where this calculation results in an ETR that is below 15 per cent, the MNE Group is required to pay a Top-up Tax, to bring the total amount of tax in that low-tax jurisdiction up to the 15 per cent rate. The Top-up Tax is only computed in relation to the excess profits, which is the profit after applying a ‘substance-based income exclusion’ (see Part VIII).</w:t>
      </w:r>
    </w:p>
    <w:p w14:paraId="30F98D80" w14:textId="77777777" w:rsidR="00672AD5" w:rsidRPr="00873BD3" w:rsidRDefault="00672AD5" w:rsidP="00F80CB8">
      <w:pPr>
        <w:pStyle w:val="ListParagraph"/>
        <w:keepNext/>
        <w:keepLines/>
        <w:numPr>
          <w:ilvl w:val="0"/>
          <w:numId w:val="6"/>
        </w:numPr>
        <w:spacing w:line="259" w:lineRule="auto"/>
        <w:ind w:left="1417" w:hanging="425"/>
        <w:jc w:val="both"/>
        <w:rPr>
          <w:rFonts w:eastAsia="Times New Roman" w:cstheme="minorHAnsi"/>
          <w:b/>
          <w:bCs/>
          <w:lang w:val="en-GB"/>
        </w:rPr>
      </w:pPr>
      <w:bookmarkStart w:id="13" w:name="_Hlk158754313"/>
      <w:bookmarkStart w:id="14" w:name="_Hlk158754298"/>
      <w:r w:rsidRPr="00873BD3">
        <w:rPr>
          <w:rFonts w:cstheme="minorHAnsi"/>
          <w:b/>
          <w:lang w:val="en-GB"/>
        </w:rPr>
        <w:lastRenderedPageBreak/>
        <w:t xml:space="preserve">The Effective Tax Rate </w:t>
      </w:r>
      <w:r w:rsidRPr="00873BD3">
        <w:rPr>
          <w:rFonts w:eastAsia="Times New Roman" w:cstheme="minorHAnsi"/>
          <w:b/>
          <w:bCs/>
          <w:lang w:val="en-GB"/>
        </w:rPr>
        <w:t xml:space="preserve"> </w:t>
      </w:r>
      <w:bookmarkEnd w:id="13"/>
    </w:p>
    <w:p w14:paraId="70B64156" w14:textId="77777777" w:rsidR="00672AD5" w:rsidRPr="00873BD3" w:rsidRDefault="00672AD5" w:rsidP="00672AD5">
      <w:pPr>
        <w:pStyle w:val="MParagraph"/>
        <w:ind w:left="1418"/>
      </w:pPr>
      <w:bookmarkStart w:id="15" w:name="_Hlk158754367"/>
      <w:bookmarkEnd w:id="14"/>
      <w:r w:rsidRPr="00873BD3">
        <w:t xml:space="preserve">The ETR calculation is set out in Chapters 3 to 5 of the </w:t>
      </w:r>
      <w:proofErr w:type="spellStart"/>
      <w:r w:rsidRPr="00873BD3">
        <w:t>GloBE</w:t>
      </w:r>
      <w:proofErr w:type="spellEnd"/>
      <w:r w:rsidRPr="00873BD3">
        <w:t xml:space="preserve"> Model Rules. These chapters set out the main features of the rules and include special rules that apply in certain circumstances. </w:t>
      </w:r>
    </w:p>
    <w:bookmarkEnd w:id="15"/>
    <w:p w14:paraId="1AF57848" w14:textId="77777777" w:rsidR="00672AD5" w:rsidRPr="00873BD3" w:rsidRDefault="00672AD5" w:rsidP="00672AD5">
      <w:pPr>
        <w:pStyle w:val="MParagraph"/>
        <w:ind w:left="1418"/>
      </w:pPr>
      <w:r w:rsidRPr="00873BD3">
        <w:t xml:space="preserve">The ETR for a jurisdiction is computed by dividing the total adjusted tax of local Constituent Entities by the total adjusted profit of those entities. There are detailed rules prescribing what taxes can be included in this calculation, which are known as ‘Covered Taxes’ and how to calculate the profit in the jurisdiction which is referred to as </w:t>
      </w:r>
      <w:proofErr w:type="spellStart"/>
      <w:r w:rsidRPr="00873BD3">
        <w:t>GloBE</w:t>
      </w:r>
      <w:proofErr w:type="spellEnd"/>
      <w:r w:rsidRPr="00873BD3">
        <w:t xml:space="preserve"> Income or Loss.</w:t>
      </w:r>
    </w:p>
    <w:p w14:paraId="56141555" w14:textId="77777777" w:rsidR="00672AD5" w:rsidRPr="00873BD3" w:rsidRDefault="00672AD5" w:rsidP="00672AD5">
      <w:pPr>
        <w:pStyle w:val="MParagraph"/>
        <w:ind w:left="1418"/>
      </w:pPr>
      <w:r w:rsidRPr="00873BD3">
        <w:t xml:space="preserve">In-scope MNE Groups must calculate their ETRs for each jurisdiction annually. The calculation of the ETR for a jurisdiction broadly involves four steps: </w:t>
      </w:r>
    </w:p>
    <w:p w14:paraId="5B833A0A" w14:textId="77777777" w:rsidR="00672AD5" w:rsidRPr="00873BD3" w:rsidRDefault="00672AD5" w:rsidP="00672AD5">
      <w:pPr>
        <w:pStyle w:val="MBullet"/>
        <w:ind w:left="1701"/>
        <w:rPr>
          <w:lang w:val="en-NZ"/>
        </w:rPr>
      </w:pPr>
      <w:r w:rsidRPr="00873BD3">
        <w:t xml:space="preserve">Firstly, </w:t>
      </w:r>
      <w:r w:rsidRPr="00873BD3">
        <w:rPr>
          <w:lang w:val="en-NZ"/>
        </w:rPr>
        <w:t xml:space="preserve">the MNE Group must identify its Constituent Entities in the jurisdiction. </w:t>
      </w:r>
    </w:p>
    <w:p w14:paraId="54567B81" w14:textId="77777777" w:rsidR="00672AD5" w:rsidRPr="00873BD3" w:rsidRDefault="00672AD5" w:rsidP="00672AD5">
      <w:pPr>
        <w:pStyle w:val="MBullet"/>
        <w:ind w:left="1701"/>
        <w:rPr>
          <w:lang w:val="en-NZ"/>
        </w:rPr>
      </w:pPr>
      <w:r w:rsidRPr="00873BD3">
        <w:rPr>
          <w:lang w:val="en-NZ"/>
        </w:rPr>
        <w:t xml:space="preserve">Secondly, the MNE Group must determine the </w:t>
      </w:r>
      <w:proofErr w:type="spellStart"/>
      <w:r w:rsidRPr="00873BD3">
        <w:rPr>
          <w:lang w:val="en-NZ"/>
        </w:rPr>
        <w:t>GloBE</w:t>
      </w:r>
      <w:proofErr w:type="spellEnd"/>
      <w:r w:rsidRPr="00873BD3">
        <w:rPr>
          <w:lang w:val="en-NZ"/>
        </w:rPr>
        <w:t xml:space="preserve"> Income or Loss of each Constituent Entity in the jurisdiction. This starts with the entity’s financial accounts which were used in the preparation of the MNE Group’s Consolidated Financial Statements. Adjustments are then made to the accounting profit to obtain the </w:t>
      </w:r>
      <w:proofErr w:type="spellStart"/>
      <w:r w:rsidRPr="00873BD3">
        <w:rPr>
          <w:lang w:val="en-NZ"/>
        </w:rPr>
        <w:t>GloBE</w:t>
      </w:r>
      <w:proofErr w:type="spellEnd"/>
      <w:r w:rsidRPr="00873BD3">
        <w:rPr>
          <w:lang w:val="en-NZ"/>
        </w:rPr>
        <w:t xml:space="preserve"> Income (or Loss). </w:t>
      </w:r>
    </w:p>
    <w:p w14:paraId="14CCF6F5" w14:textId="77777777" w:rsidR="00672AD5" w:rsidRPr="00873BD3" w:rsidRDefault="00672AD5" w:rsidP="00672AD5">
      <w:pPr>
        <w:pStyle w:val="MBullet"/>
        <w:ind w:left="1701"/>
        <w:rPr>
          <w:lang w:val="en-NZ"/>
        </w:rPr>
      </w:pPr>
      <w:r w:rsidRPr="00873BD3">
        <w:rPr>
          <w:lang w:val="en-NZ"/>
        </w:rPr>
        <w:t xml:space="preserve">Thirdly, the MNE Group must determine the Covered Taxes of the Constituent Entities in the jurisdiction. The starting point for calculating Covered Taxes is the current tax expense as shown in the same financial accounts as the ones used to determine the </w:t>
      </w:r>
      <w:proofErr w:type="spellStart"/>
      <w:r w:rsidRPr="00873BD3">
        <w:rPr>
          <w:lang w:val="en-NZ"/>
        </w:rPr>
        <w:t>GloBE</w:t>
      </w:r>
      <w:proofErr w:type="spellEnd"/>
      <w:r w:rsidRPr="00873BD3">
        <w:rPr>
          <w:lang w:val="en-NZ"/>
        </w:rPr>
        <w:t xml:space="preserve"> Income or Loss. Adjustments are then made to the current tax expense, including an adjustment based on deferred tax to address timing differences between accounting and tax. </w:t>
      </w:r>
    </w:p>
    <w:p w14:paraId="162AC87C" w14:textId="77777777" w:rsidR="00672AD5" w:rsidRPr="00873BD3" w:rsidRDefault="00672AD5" w:rsidP="00672AD5">
      <w:pPr>
        <w:pStyle w:val="MBullet"/>
        <w:ind w:left="1701"/>
      </w:pPr>
      <w:r w:rsidRPr="00873BD3">
        <w:rPr>
          <w:lang w:val="en-NZ"/>
        </w:rPr>
        <w:t xml:space="preserve">Lastly, the ETR is derived by aggregating Covered Taxes and </w:t>
      </w:r>
      <w:proofErr w:type="spellStart"/>
      <w:r w:rsidRPr="00873BD3">
        <w:rPr>
          <w:lang w:val="en-NZ"/>
        </w:rPr>
        <w:t>GloBE</w:t>
      </w:r>
      <w:proofErr w:type="spellEnd"/>
      <w:r w:rsidRPr="00873BD3">
        <w:rPr>
          <w:lang w:val="en-NZ"/>
        </w:rPr>
        <w:t xml:space="preserve"> Income and Loss of the Constituent</w:t>
      </w:r>
      <w:r w:rsidRPr="00873BD3">
        <w:t xml:space="preserve"> Entities in a jurisdiction. The aggregated Covered Taxes</w:t>
      </w:r>
      <w:r w:rsidRPr="00873BD3" w:rsidDel="008C31C8">
        <w:t xml:space="preserve"> </w:t>
      </w:r>
      <w:r w:rsidRPr="00873BD3">
        <w:t xml:space="preserve">is divided by the aggregated </w:t>
      </w:r>
      <w:proofErr w:type="spellStart"/>
      <w:r w:rsidRPr="00873BD3">
        <w:t>GloBE</w:t>
      </w:r>
      <w:proofErr w:type="spellEnd"/>
      <w:r w:rsidRPr="00873BD3">
        <w:t xml:space="preserve"> income or Loss to determine the jurisdictional ETR. However, calculation of the ETR will not be required where the de minimis exclusion in Article 5.5 of the </w:t>
      </w:r>
      <w:proofErr w:type="spellStart"/>
      <w:r w:rsidRPr="00873BD3">
        <w:t>GloBE</w:t>
      </w:r>
      <w:proofErr w:type="spellEnd"/>
      <w:r w:rsidRPr="00873BD3">
        <w:t xml:space="preserve"> Model Rules applies (i.e. where the Average </w:t>
      </w:r>
      <w:proofErr w:type="spellStart"/>
      <w:r w:rsidRPr="00873BD3">
        <w:t>GloBE</w:t>
      </w:r>
      <w:proofErr w:type="spellEnd"/>
      <w:r w:rsidRPr="00873BD3">
        <w:t xml:space="preserve"> Revenue of the jurisdiction is less than 10 million Euros and the Average </w:t>
      </w:r>
      <w:proofErr w:type="spellStart"/>
      <w:r w:rsidRPr="00873BD3">
        <w:t>GloBE</w:t>
      </w:r>
      <w:proofErr w:type="spellEnd"/>
      <w:r w:rsidRPr="00873BD3">
        <w:t xml:space="preserve"> Income or Loss of the jurisdiction is a loss or less than 1 million Euros). In addition, a simplified methodology for calculating the ETR may be available under a safe </w:t>
      </w:r>
      <w:proofErr w:type="spellStart"/>
      <w:r w:rsidRPr="00873BD3">
        <w:t>harbour</w:t>
      </w:r>
      <w:proofErr w:type="spellEnd"/>
      <w:r w:rsidRPr="00873BD3">
        <w:t>.</w:t>
      </w:r>
    </w:p>
    <w:p w14:paraId="4E33C473" w14:textId="77777777" w:rsidR="00672AD5" w:rsidRPr="00873BD3" w:rsidRDefault="00672AD5" w:rsidP="00F80CB8">
      <w:pPr>
        <w:pStyle w:val="ListParagraph"/>
        <w:keepNext/>
        <w:keepLines/>
        <w:numPr>
          <w:ilvl w:val="0"/>
          <w:numId w:val="6"/>
        </w:numPr>
        <w:spacing w:line="259" w:lineRule="auto"/>
        <w:ind w:left="1417" w:hanging="425"/>
        <w:jc w:val="both"/>
        <w:rPr>
          <w:rFonts w:eastAsia="Times New Roman" w:cstheme="minorHAnsi"/>
          <w:b/>
          <w:bCs/>
          <w:lang w:val="en-GB"/>
        </w:rPr>
      </w:pPr>
      <w:r w:rsidRPr="00873BD3">
        <w:rPr>
          <w:rFonts w:cstheme="minorHAnsi"/>
          <w:b/>
          <w:lang w:val="en-GB"/>
        </w:rPr>
        <w:lastRenderedPageBreak/>
        <w:t>Calculating</w:t>
      </w:r>
      <w:r w:rsidRPr="00873BD3">
        <w:rPr>
          <w:rFonts w:eastAsia="Times New Roman" w:cstheme="minorHAnsi"/>
          <w:b/>
          <w:bCs/>
          <w:lang w:val="en-GB"/>
        </w:rPr>
        <w:t xml:space="preserve"> the Top-up Tax  </w:t>
      </w:r>
    </w:p>
    <w:p w14:paraId="33043E02" w14:textId="77777777" w:rsidR="00672AD5" w:rsidRPr="00873BD3" w:rsidRDefault="00672AD5" w:rsidP="00672AD5">
      <w:pPr>
        <w:pStyle w:val="MParagraph"/>
        <w:ind w:left="1418"/>
      </w:pPr>
      <w:r w:rsidRPr="00873BD3">
        <w:t>When the jurisdictional ETR is below the 15 per cent minimum rate, the next step is to determine how much Top-up Tax is owed.</w:t>
      </w:r>
    </w:p>
    <w:p w14:paraId="44CB8F1E" w14:textId="77777777" w:rsidR="00672AD5" w:rsidRPr="00873BD3" w:rsidRDefault="00672AD5" w:rsidP="00672AD5">
      <w:pPr>
        <w:pStyle w:val="MParagraph"/>
        <w:ind w:left="1418"/>
      </w:pPr>
      <w:r w:rsidRPr="00873BD3">
        <w:t xml:space="preserve">MNE Groups must determine the Top-up Tax percentage, which is the difference between the 15 per cent minimum rate and the ETR in the jurisdiction. That Top-up Tax percentage is applied to the </w:t>
      </w:r>
      <w:proofErr w:type="spellStart"/>
      <w:r w:rsidRPr="00873BD3">
        <w:t>GloBE</w:t>
      </w:r>
      <w:proofErr w:type="spellEnd"/>
      <w:r w:rsidRPr="00873BD3">
        <w:t xml:space="preserve"> Income or Loss in the jurisdiction, after deducting a substance-based income exclusion to calculate the jurisdictional Top-up tax.</w:t>
      </w:r>
      <w:r w:rsidRPr="00873BD3" w:rsidDel="00575611">
        <w:t xml:space="preserve"> </w:t>
      </w:r>
      <w:r w:rsidRPr="00873BD3">
        <w:t xml:space="preserve">The substance carve-out excludes from the </w:t>
      </w:r>
      <w:proofErr w:type="spellStart"/>
      <w:r w:rsidRPr="00873BD3">
        <w:t>GloBE</w:t>
      </w:r>
      <w:proofErr w:type="spellEnd"/>
      <w:r w:rsidRPr="00873BD3">
        <w:t xml:space="preserve"> tax base a certain amount of income calculated by reference to a fixed return on assets and payroll expenses in each jurisdiction. The result, which is the jurisdictional Top-up Tax, is allocated between the Constituent Entities located in the jurisdiction. </w:t>
      </w:r>
    </w:p>
    <w:p w14:paraId="503E5B2C" w14:textId="77777777" w:rsidR="00672AD5" w:rsidRPr="00873BD3" w:rsidRDefault="00672AD5" w:rsidP="00672AD5">
      <w:pPr>
        <w:pStyle w:val="ListParagraph"/>
        <w:numPr>
          <w:ilvl w:val="0"/>
          <w:numId w:val="6"/>
        </w:numPr>
        <w:spacing w:line="259" w:lineRule="auto"/>
        <w:ind w:left="1418" w:hanging="425"/>
        <w:jc w:val="both"/>
        <w:rPr>
          <w:rFonts w:eastAsia="Times New Roman" w:cstheme="minorHAnsi"/>
          <w:b/>
          <w:bCs/>
          <w:lang w:val="en-GB"/>
        </w:rPr>
      </w:pPr>
      <w:r w:rsidRPr="00873BD3">
        <w:rPr>
          <w:rFonts w:cstheme="minorHAnsi"/>
          <w:b/>
          <w:lang w:val="en-GB"/>
        </w:rPr>
        <w:t>Multinational</w:t>
      </w:r>
      <w:r w:rsidRPr="00873BD3">
        <w:rPr>
          <w:rFonts w:eastAsia="Times New Roman" w:cstheme="minorHAnsi"/>
          <w:b/>
          <w:bCs/>
          <w:lang w:val="en-GB"/>
        </w:rPr>
        <w:t xml:space="preserve"> top-up tax liability in domestic currency   </w:t>
      </w:r>
    </w:p>
    <w:p w14:paraId="63589E2A" w14:textId="033C88B2" w:rsidR="0060226A" w:rsidRDefault="00672AD5" w:rsidP="00672AD5">
      <w:pPr>
        <w:pStyle w:val="MParagraph"/>
        <w:ind w:left="1418"/>
      </w:pPr>
      <w:r w:rsidRPr="00873BD3">
        <w:t xml:space="preserve">If the multinational top-up tax amount computed under the </w:t>
      </w:r>
      <w:proofErr w:type="spellStart"/>
      <w:r w:rsidRPr="00873BD3">
        <w:t>GloBE</w:t>
      </w:r>
      <w:proofErr w:type="spellEnd"/>
      <w:r w:rsidRPr="00873BD3">
        <w:t xml:space="preserve"> Model Rules is in a foreign currency, the amounts shall be translated into Rands by using the average exchange rate for the</w:t>
      </w:r>
      <w:r w:rsidRPr="00873BD3">
        <w:rPr>
          <w:sz w:val="18"/>
          <w:szCs w:val="18"/>
          <w:lang w:val="en-ZA" w:eastAsia="en-ZA"/>
        </w:rPr>
        <w:t xml:space="preserve"> </w:t>
      </w:r>
      <w:r w:rsidRPr="00873BD3">
        <w:rPr>
          <w:lang w:val="en-ZA"/>
        </w:rPr>
        <w:t>Fiscal Year to which the tax relates.</w:t>
      </w:r>
    </w:p>
    <w:p w14:paraId="1E466609" w14:textId="2FC25B71" w:rsidR="00672AD5" w:rsidRDefault="00672AD5" w:rsidP="0060226A">
      <w:pPr>
        <w:pStyle w:val="MH4"/>
      </w:pPr>
      <w:bookmarkStart w:id="16" w:name="_Toc178687647"/>
      <w:r>
        <w:t>income inclusion rule</w:t>
      </w:r>
      <w:bookmarkEnd w:id="16"/>
    </w:p>
    <w:p w14:paraId="5DBCA1C4" w14:textId="23575ACE" w:rsidR="00672AD5" w:rsidRDefault="00672AD5" w:rsidP="00672AD5">
      <w:pPr>
        <w:pStyle w:val="MParagraph"/>
      </w:pPr>
      <w:bookmarkStart w:id="17" w:name="_Hlk159010144"/>
      <w:r w:rsidRPr="00873BD3">
        <w:t xml:space="preserve">A UPE located in the Republic may be liable for the multinational top-up tax under the IIR determined in accordance with Articles 2.1 to 2.3 of the </w:t>
      </w:r>
      <w:proofErr w:type="spellStart"/>
      <w:r w:rsidRPr="00873BD3">
        <w:t>GloBE</w:t>
      </w:r>
      <w:proofErr w:type="spellEnd"/>
      <w:r w:rsidRPr="00873BD3">
        <w:t xml:space="preserve"> Model Rules. </w:t>
      </w:r>
      <w:bookmarkEnd w:id="17"/>
      <w:r w:rsidRPr="00873BD3">
        <w:t xml:space="preserve">Articles 2.4 to 2.6 of the </w:t>
      </w:r>
      <w:proofErr w:type="spellStart"/>
      <w:r w:rsidRPr="00873BD3">
        <w:t>GloBE</w:t>
      </w:r>
      <w:proofErr w:type="spellEnd"/>
      <w:r w:rsidRPr="00873BD3">
        <w:t xml:space="preserve"> Model Rules will not be applicable as they relate to the charging provisions of the Undertaxed Payments Rule (UTPR). Furthermore, Article 9.3 of the </w:t>
      </w:r>
      <w:proofErr w:type="spellStart"/>
      <w:r w:rsidRPr="00873BD3">
        <w:t>GloBE</w:t>
      </w:r>
      <w:proofErr w:type="spellEnd"/>
      <w:r w:rsidRPr="00873BD3">
        <w:t xml:space="preserve"> Model Rules is not applicable as it relates to the exclusion from the UTPR of MNE Groups in the initial phase of their international activity.</w:t>
      </w:r>
    </w:p>
    <w:p w14:paraId="745B6E8E" w14:textId="48FD3DC6" w:rsidR="00571030" w:rsidRPr="00466EA8" w:rsidRDefault="00672AD5" w:rsidP="0060226A">
      <w:pPr>
        <w:pStyle w:val="MH4"/>
      </w:pPr>
      <w:bookmarkStart w:id="18" w:name="_Toc178687648"/>
      <w:r>
        <w:t>domestic minimum top-up tax</w:t>
      </w:r>
      <w:bookmarkEnd w:id="18"/>
    </w:p>
    <w:p w14:paraId="72AD35D8" w14:textId="281C5D52" w:rsidR="003B0EDE" w:rsidRPr="00466EA8" w:rsidRDefault="00672AD5" w:rsidP="00672AD5">
      <w:pPr>
        <w:pStyle w:val="MH5"/>
      </w:pPr>
      <w:bookmarkStart w:id="19" w:name="_Toc178687649"/>
      <w:r>
        <w:t xml:space="preserve">Definition of </w:t>
      </w:r>
      <w:r w:rsidRPr="00873BD3">
        <w:t>Domestic Minimum Top-up tax (DMTT)</w:t>
      </w:r>
      <w:bookmarkEnd w:id="19"/>
    </w:p>
    <w:p w14:paraId="5E8B3283" w14:textId="77777777" w:rsidR="00672AD5" w:rsidRPr="00873BD3" w:rsidRDefault="00672AD5" w:rsidP="00672AD5">
      <w:pPr>
        <w:pStyle w:val="MParagraph"/>
      </w:pPr>
      <w:r w:rsidRPr="00873BD3">
        <w:t>The Domestic Minimum Top-up Tax (“DMTT”)</w:t>
      </w:r>
      <w:r w:rsidRPr="00873BD3" w:rsidDel="00E04474">
        <w:t xml:space="preserve"> </w:t>
      </w:r>
      <w:r w:rsidRPr="00873BD3">
        <w:t>is a minimum top-up tax included in domestic law that:</w:t>
      </w:r>
    </w:p>
    <w:p w14:paraId="1D1DB158" w14:textId="77777777" w:rsidR="00672AD5" w:rsidRPr="00873BD3" w:rsidRDefault="00672AD5" w:rsidP="00672AD5">
      <w:pPr>
        <w:pStyle w:val="MParagraph"/>
        <w:numPr>
          <w:ilvl w:val="0"/>
          <w:numId w:val="14"/>
        </w:numPr>
        <w:ind w:hanging="437"/>
        <w:rPr>
          <w:lang w:val="en-GB"/>
        </w:rPr>
      </w:pPr>
      <w:r w:rsidRPr="00873BD3">
        <w:rPr>
          <w:lang w:val="en-GB"/>
        </w:rPr>
        <w:t xml:space="preserve">calculates the excess profits of Constituent Entities located in the jurisdiction in a way that is consistent with the </w:t>
      </w:r>
      <w:proofErr w:type="spellStart"/>
      <w:r w:rsidRPr="00873BD3">
        <w:rPr>
          <w:lang w:val="en-GB"/>
        </w:rPr>
        <w:t>GloBE</w:t>
      </w:r>
      <w:proofErr w:type="spellEnd"/>
      <w:r w:rsidRPr="00873BD3">
        <w:rPr>
          <w:lang w:val="en-GB"/>
        </w:rPr>
        <w:t xml:space="preserve"> Model </w:t>
      </w:r>
      <w:proofErr w:type="gramStart"/>
      <w:r w:rsidRPr="00873BD3">
        <w:rPr>
          <w:lang w:val="en-GB"/>
        </w:rPr>
        <w:t>Rules;</w:t>
      </w:r>
      <w:proofErr w:type="gramEnd"/>
    </w:p>
    <w:p w14:paraId="17294A13" w14:textId="77777777" w:rsidR="00672AD5" w:rsidRPr="00873BD3" w:rsidRDefault="00672AD5" w:rsidP="00672AD5">
      <w:pPr>
        <w:pStyle w:val="MParagraph"/>
        <w:numPr>
          <w:ilvl w:val="0"/>
          <w:numId w:val="14"/>
        </w:numPr>
        <w:ind w:hanging="437"/>
        <w:rPr>
          <w:lang w:val="en-GB"/>
        </w:rPr>
      </w:pPr>
      <w:r w:rsidRPr="00873BD3">
        <w:rPr>
          <w:lang w:val="en-GB"/>
        </w:rPr>
        <w:lastRenderedPageBreak/>
        <w:t>increases the domestic tax liability to the minimum rate on the domestic excess profits for a fiscal year; and</w:t>
      </w:r>
    </w:p>
    <w:p w14:paraId="260B6ADC" w14:textId="77777777" w:rsidR="00672AD5" w:rsidRPr="00873BD3" w:rsidRDefault="00672AD5" w:rsidP="00672AD5">
      <w:pPr>
        <w:pStyle w:val="MParagraph"/>
        <w:numPr>
          <w:ilvl w:val="0"/>
          <w:numId w:val="14"/>
        </w:numPr>
        <w:ind w:hanging="437"/>
        <w:rPr>
          <w:lang w:val="en-GB"/>
        </w:rPr>
      </w:pPr>
      <w:r w:rsidRPr="00873BD3">
        <w:rPr>
          <w:lang w:val="en-GB"/>
        </w:rPr>
        <w:t>is implemented and administered in a way that is consistent with the </w:t>
      </w:r>
      <w:proofErr w:type="spellStart"/>
      <w:r w:rsidRPr="00873BD3">
        <w:fldChar w:fldCharType="begin"/>
      </w:r>
      <w:r w:rsidRPr="00873BD3">
        <w:instrText>HYPERLINK "https://www.oecd.org/tax/beps/tax-challenges-arising-from-the-digitalisation-of-the-economy-global-anti-base-erosion-model-rules-pillar-two.pdf"</w:instrText>
      </w:r>
      <w:r w:rsidRPr="00873BD3">
        <w:fldChar w:fldCharType="separate"/>
      </w:r>
      <w:r w:rsidRPr="00873BD3">
        <w:rPr>
          <w:lang w:val="en-GB"/>
        </w:rPr>
        <w:t>GloBE</w:t>
      </w:r>
      <w:proofErr w:type="spellEnd"/>
      <w:r w:rsidRPr="00873BD3">
        <w:rPr>
          <w:lang w:val="en-GB"/>
        </w:rPr>
        <w:t xml:space="preserve"> Model Rules</w:t>
      </w:r>
      <w:r w:rsidRPr="00873BD3">
        <w:rPr>
          <w:lang w:val="en-GB"/>
        </w:rPr>
        <w:fldChar w:fldCharType="end"/>
      </w:r>
      <w:r w:rsidRPr="00873BD3">
        <w:rPr>
          <w:lang w:val="en-GB"/>
        </w:rPr>
        <w:t> and the </w:t>
      </w:r>
      <w:hyperlink r:id="rId23" w:history="1">
        <w:r w:rsidRPr="00873BD3">
          <w:rPr>
            <w:lang w:val="en-GB"/>
          </w:rPr>
          <w:t>Commentary</w:t>
        </w:r>
      </w:hyperlink>
      <w:r w:rsidRPr="00873BD3">
        <w:rPr>
          <w:lang w:val="en-GB"/>
        </w:rPr>
        <w:t>.</w:t>
      </w:r>
    </w:p>
    <w:p w14:paraId="1F0F36FE" w14:textId="77777777" w:rsidR="00672AD5" w:rsidRPr="00873BD3" w:rsidRDefault="00672AD5" w:rsidP="00672AD5">
      <w:pPr>
        <w:pStyle w:val="MH5"/>
        <w:rPr>
          <w:szCs w:val="26"/>
        </w:rPr>
      </w:pPr>
      <w:bookmarkStart w:id="20" w:name="_Toc178613734"/>
      <w:bookmarkStart w:id="21" w:name="_Toc178687650"/>
      <w:r w:rsidRPr="00873BD3">
        <w:t xml:space="preserve">Tax payable pursuant to DMTT and inapplicable articles in the </w:t>
      </w:r>
      <w:proofErr w:type="spellStart"/>
      <w:r w:rsidRPr="00873BD3">
        <w:t>GloBE</w:t>
      </w:r>
      <w:proofErr w:type="spellEnd"/>
      <w:r w:rsidRPr="00873BD3">
        <w:rPr>
          <w:szCs w:val="26"/>
        </w:rPr>
        <w:t xml:space="preserve"> Model Rules</w:t>
      </w:r>
      <w:bookmarkEnd w:id="20"/>
      <w:bookmarkEnd w:id="21"/>
    </w:p>
    <w:p w14:paraId="25BD632D" w14:textId="77777777" w:rsidR="00672AD5" w:rsidRPr="00873BD3" w:rsidRDefault="00672AD5" w:rsidP="00F80CB8">
      <w:pPr>
        <w:pStyle w:val="MParagraph"/>
      </w:pPr>
      <w:r w:rsidRPr="00873BD3">
        <w:t xml:space="preserve">A Domestic Constituent Entity is liable for the multinational top-up tax under the DMTT determined in accordance with the </w:t>
      </w:r>
      <w:proofErr w:type="spellStart"/>
      <w:r w:rsidRPr="00873BD3">
        <w:t>GloBE</w:t>
      </w:r>
      <w:proofErr w:type="spellEnd"/>
      <w:r w:rsidRPr="00873BD3">
        <w:t xml:space="preserve"> Model Rules. </w:t>
      </w:r>
    </w:p>
    <w:p w14:paraId="262AE88C" w14:textId="19D351FA" w:rsidR="00672AD5" w:rsidRPr="00873BD3" w:rsidRDefault="00672AD5" w:rsidP="00F80CB8">
      <w:pPr>
        <w:pStyle w:val="MParagraph"/>
        <w:rPr>
          <w:lang w:val="en-GB"/>
        </w:rPr>
      </w:pPr>
      <w:r w:rsidRPr="00873BD3">
        <w:t>However</w:t>
      </w:r>
      <w:r w:rsidRPr="00873BD3">
        <w:rPr>
          <w:lang w:val="en-NZ"/>
        </w:rPr>
        <w:t xml:space="preserve">, the following provisions of the </w:t>
      </w:r>
      <w:proofErr w:type="spellStart"/>
      <w:r w:rsidRPr="00873BD3">
        <w:rPr>
          <w:lang w:val="en-NZ"/>
        </w:rPr>
        <w:t>GloBE</w:t>
      </w:r>
      <w:proofErr w:type="spellEnd"/>
      <w:r w:rsidRPr="00873BD3">
        <w:rPr>
          <w:lang w:val="en-NZ"/>
        </w:rPr>
        <w:t xml:space="preserve"> Model Rules are disapplied </w:t>
      </w:r>
      <w:r w:rsidRPr="00873BD3">
        <w:rPr>
          <w:lang w:val="en-GB"/>
        </w:rPr>
        <w:t xml:space="preserve">for purposes of the DMTT calculation: </w:t>
      </w:r>
    </w:p>
    <w:p w14:paraId="57281834" w14:textId="77777777" w:rsidR="00672AD5" w:rsidRPr="00873BD3" w:rsidRDefault="00672AD5" w:rsidP="00672AD5">
      <w:pPr>
        <w:pStyle w:val="ListParagraph"/>
        <w:widowControl w:val="0"/>
        <w:numPr>
          <w:ilvl w:val="0"/>
          <w:numId w:val="9"/>
        </w:numPr>
        <w:tabs>
          <w:tab w:val="left" w:pos="-1440"/>
        </w:tabs>
        <w:autoSpaceDE w:val="0"/>
        <w:autoSpaceDN w:val="0"/>
        <w:adjustRightInd w:val="0"/>
        <w:spacing w:before="120" w:after="120" w:line="360" w:lineRule="auto"/>
        <w:ind w:left="1418"/>
        <w:jc w:val="both"/>
        <w:rPr>
          <w:rFonts w:eastAsia="Times New Roman" w:cstheme="minorHAnsi"/>
          <w:b/>
          <w:bCs/>
          <w:i/>
          <w:iCs/>
          <w:lang w:val="en-GB"/>
        </w:rPr>
      </w:pPr>
      <w:bookmarkStart w:id="22" w:name="_Hlk158731217"/>
      <w:r w:rsidRPr="00873BD3">
        <w:rPr>
          <w:rFonts w:eastAsia="Times New Roman" w:cstheme="minorHAnsi"/>
          <w:b/>
          <w:bCs/>
          <w:i/>
          <w:iCs/>
          <w:lang w:val="en-GB"/>
        </w:rPr>
        <w:t xml:space="preserve">Charging Provisions under Chapter 2 of the </w:t>
      </w:r>
      <w:proofErr w:type="spellStart"/>
      <w:r w:rsidRPr="00873BD3">
        <w:rPr>
          <w:rFonts w:eastAsia="Times New Roman" w:cstheme="minorHAnsi"/>
          <w:b/>
          <w:bCs/>
          <w:i/>
          <w:iCs/>
          <w:lang w:val="en-GB"/>
        </w:rPr>
        <w:t>GloBE</w:t>
      </w:r>
      <w:proofErr w:type="spellEnd"/>
      <w:r w:rsidRPr="00873BD3">
        <w:rPr>
          <w:rFonts w:eastAsia="Times New Roman" w:cstheme="minorHAnsi"/>
          <w:b/>
          <w:bCs/>
          <w:i/>
          <w:iCs/>
          <w:lang w:val="en-GB"/>
        </w:rPr>
        <w:t xml:space="preserve"> Model Rules</w:t>
      </w:r>
    </w:p>
    <w:bookmarkEnd w:id="22"/>
    <w:p w14:paraId="38355876" w14:textId="77777777" w:rsidR="00672AD5" w:rsidRPr="00873BD3" w:rsidRDefault="00672AD5" w:rsidP="00672AD5">
      <w:pPr>
        <w:pStyle w:val="MParagraph"/>
        <w:ind w:left="1418"/>
        <w:rPr>
          <w:i/>
          <w:iCs/>
          <w:lang w:val="en-GB"/>
        </w:rPr>
      </w:pPr>
      <w:r w:rsidRPr="00873BD3">
        <w:rPr>
          <w:lang w:val="en-GB"/>
        </w:rPr>
        <w:t>Charging provisions for the IIR and UTPR shall not apply as they are irrelevant to a DMTT.</w:t>
      </w:r>
      <w:bookmarkStart w:id="23" w:name="_Hlk158731915"/>
    </w:p>
    <w:p w14:paraId="2607D6EF" w14:textId="77777777" w:rsidR="00672AD5" w:rsidRPr="00873BD3" w:rsidRDefault="00672AD5" w:rsidP="004409EA">
      <w:pPr>
        <w:pStyle w:val="ListParagraph"/>
        <w:widowControl w:val="0"/>
        <w:numPr>
          <w:ilvl w:val="0"/>
          <w:numId w:val="9"/>
        </w:numPr>
        <w:tabs>
          <w:tab w:val="left" w:pos="-1440"/>
        </w:tabs>
        <w:autoSpaceDE w:val="0"/>
        <w:autoSpaceDN w:val="0"/>
        <w:adjustRightInd w:val="0"/>
        <w:spacing w:before="120" w:after="120" w:line="360" w:lineRule="auto"/>
        <w:ind w:left="1418" w:hanging="218"/>
        <w:jc w:val="both"/>
        <w:rPr>
          <w:rFonts w:eastAsia="Times New Roman" w:cstheme="minorHAnsi"/>
          <w:b/>
          <w:bCs/>
          <w:i/>
          <w:iCs/>
          <w:lang w:val="en-GB"/>
        </w:rPr>
      </w:pPr>
      <w:r w:rsidRPr="00873BD3">
        <w:rPr>
          <w:rFonts w:eastAsia="Times New Roman" w:cstheme="minorHAnsi"/>
          <w:b/>
          <w:bCs/>
          <w:i/>
          <w:iCs/>
          <w:lang w:val="en-GB"/>
        </w:rPr>
        <w:t xml:space="preserve">Provisions in the </w:t>
      </w:r>
      <w:proofErr w:type="spellStart"/>
      <w:r w:rsidRPr="00873BD3">
        <w:rPr>
          <w:rFonts w:eastAsia="Times New Roman" w:cstheme="minorHAnsi"/>
          <w:b/>
          <w:bCs/>
          <w:i/>
          <w:iCs/>
          <w:lang w:val="en-GB"/>
        </w:rPr>
        <w:t>GloBE</w:t>
      </w:r>
      <w:proofErr w:type="spellEnd"/>
      <w:r w:rsidRPr="00873BD3">
        <w:rPr>
          <w:rFonts w:eastAsia="Times New Roman" w:cstheme="minorHAnsi"/>
          <w:b/>
          <w:bCs/>
          <w:i/>
          <w:iCs/>
          <w:lang w:val="en-GB"/>
        </w:rPr>
        <w:t xml:space="preserve"> Model Rules that allocate the Jurisdictional Top-up Tax </w:t>
      </w:r>
    </w:p>
    <w:p w14:paraId="15CD47B3" w14:textId="77777777" w:rsidR="00672AD5" w:rsidRPr="00873BD3" w:rsidRDefault="00672AD5" w:rsidP="00672AD5">
      <w:pPr>
        <w:pStyle w:val="MParagraph"/>
        <w:ind w:left="1418"/>
        <w:rPr>
          <w:lang w:val="en-ZA"/>
        </w:rPr>
      </w:pPr>
      <w:r w:rsidRPr="00873BD3">
        <w:rPr>
          <w:lang w:val="en-ZA"/>
        </w:rPr>
        <w:t xml:space="preserve">Certain provisions of the </w:t>
      </w:r>
      <w:proofErr w:type="spellStart"/>
      <w:r w:rsidRPr="00873BD3">
        <w:rPr>
          <w:lang w:val="en-ZA"/>
        </w:rPr>
        <w:t>GloBE</w:t>
      </w:r>
      <w:proofErr w:type="spellEnd"/>
      <w:r w:rsidRPr="00873BD3">
        <w:rPr>
          <w:lang w:val="en-ZA"/>
        </w:rPr>
        <w:t xml:space="preserve"> Model Rules that allocate the Jurisdictional Top-up Tax to </w:t>
      </w:r>
      <w:r w:rsidRPr="00873BD3">
        <w:rPr>
          <w:lang w:val="en-NZ"/>
        </w:rPr>
        <w:t>individual</w:t>
      </w:r>
      <w:r w:rsidRPr="00873BD3">
        <w:rPr>
          <w:lang w:val="en-ZA"/>
        </w:rPr>
        <w:t xml:space="preserve"> Constituent Entities shall not apply, because the DMTT charges the total Jurisdictional Top-up </w:t>
      </w:r>
      <w:proofErr w:type="gramStart"/>
      <w:r w:rsidRPr="00873BD3">
        <w:rPr>
          <w:lang w:val="en-ZA"/>
        </w:rPr>
        <w:t>Tax</w:t>
      </w:r>
      <w:proofErr w:type="gramEnd"/>
      <w:r w:rsidRPr="00873BD3">
        <w:rPr>
          <w:lang w:val="en-ZA"/>
        </w:rPr>
        <w:t xml:space="preserve"> so it is not necessary to allocate this amount between Constituent Entities. The following provisions of the </w:t>
      </w:r>
      <w:proofErr w:type="spellStart"/>
      <w:r w:rsidRPr="00873BD3">
        <w:rPr>
          <w:lang w:val="en-ZA"/>
        </w:rPr>
        <w:t>GloBE</w:t>
      </w:r>
      <w:proofErr w:type="spellEnd"/>
      <w:r w:rsidRPr="00873BD3">
        <w:rPr>
          <w:lang w:val="en-ZA"/>
        </w:rPr>
        <w:t xml:space="preserve"> Model Rules shall not apply: </w:t>
      </w:r>
    </w:p>
    <w:bookmarkEnd w:id="23"/>
    <w:p w14:paraId="7A313C75" w14:textId="77777777" w:rsidR="00672AD5" w:rsidRPr="00873BD3" w:rsidRDefault="00672AD5" w:rsidP="00F80CB8">
      <w:pPr>
        <w:pStyle w:val="MParagraph"/>
        <w:numPr>
          <w:ilvl w:val="0"/>
          <w:numId w:val="15"/>
        </w:numPr>
        <w:spacing w:before="120" w:after="120"/>
        <w:ind w:left="1984" w:hanging="357"/>
        <w:rPr>
          <w:lang w:val="en-GB"/>
        </w:rPr>
      </w:pPr>
      <w:r w:rsidRPr="00873BD3">
        <w:rPr>
          <w:lang w:val="en-GB"/>
        </w:rPr>
        <w:t xml:space="preserve">Article 5.2.4 that allocates the Jurisdictional Top-up Tax computed for a Low-Tax Jurisdiction among the Constituent Entities in the </w:t>
      </w:r>
      <w:proofErr w:type="gramStart"/>
      <w:r w:rsidRPr="00873BD3">
        <w:rPr>
          <w:lang w:val="en-GB"/>
        </w:rPr>
        <w:t>jurisdiction;</w:t>
      </w:r>
      <w:proofErr w:type="gramEnd"/>
    </w:p>
    <w:p w14:paraId="4DE93DC7" w14:textId="77777777" w:rsidR="00672AD5" w:rsidRPr="00873BD3" w:rsidRDefault="00672AD5" w:rsidP="00F80CB8">
      <w:pPr>
        <w:pStyle w:val="MParagraph"/>
        <w:numPr>
          <w:ilvl w:val="0"/>
          <w:numId w:val="15"/>
        </w:numPr>
        <w:spacing w:before="120" w:after="120"/>
        <w:ind w:left="1984" w:hanging="357"/>
        <w:rPr>
          <w:lang w:val="en-GB"/>
        </w:rPr>
      </w:pPr>
      <w:r w:rsidRPr="00873BD3">
        <w:rPr>
          <w:lang w:val="en-GB"/>
        </w:rPr>
        <w:t xml:space="preserve">Article 5.2.5 that deals with the allocation of Top-up Tax amongst Constituent Entities when there is no Net </w:t>
      </w:r>
      <w:proofErr w:type="spellStart"/>
      <w:r w:rsidRPr="00873BD3">
        <w:rPr>
          <w:lang w:val="en-GB"/>
        </w:rPr>
        <w:t>GloBE</w:t>
      </w:r>
      <w:proofErr w:type="spellEnd"/>
      <w:r w:rsidRPr="00873BD3">
        <w:rPr>
          <w:lang w:val="en-GB"/>
        </w:rPr>
        <w:t xml:space="preserve"> Income for the Fiscal Year.</w:t>
      </w:r>
    </w:p>
    <w:p w14:paraId="07F3DD14" w14:textId="77777777" w:rsidR="00672AD5" w:rsidRPr="00873BD3" w:rsidRDefault="00672AD5" w:rsidP="00F80CB8">
      <w:pPr>
        <w:pStyle w:val="MParagraph"/>
        <w:numPr>
          <w:ilvl w:val="0"/>
          <w:numId w:val="15"/>
        </w:numPr>
        <w:spacing w:before="120" w:after="120"/>
        <w:ind w:left="1984" w:hanging="357"/>
        <w:rPr>
          <w:lang w:val="en-GB"/>
        </w:rPr>
      </w:pPr>
      <w:r w:rsidRPr="00873BD3">
        <w:rPr>
          <w:lang w:val="en-GB"/>
        </w:rPr>
        <w:t xml:space="preserve">Article 5.4.2 that provides a special rule for when there is additional Top-Up Tax due </w:t>
      </w:r>
      <w:proofErr w:type="gramStart"/>
      <w:r w:rsidRPr="00873BD3">
        <w:rPr>
          <w:lang w:val="en-GB"/>
        </w:rPr>
        <w:t>as a result of</w:t>
      </w:r>
      <w:proofErr w:type="gramEnd"/>
      <w:r w:rsidRPr="00873BD3">
        <w:rPr>
          <w:lang w:val="en-GB"/>
        </w:rPr>
        <w:t xml:space="preserve"> a recalculation performed in accordance with Article 5.4.1 and there is no Net Globe Income for the jurisdiction for the current Fiscal Year. The rule provides that the </w:t>
      </w:r>
      <w:proofErr w:type="spellStart"/>
      <w:r w:rsidRPr="00873BD3">
        <w:rPr>
          <w:lang w:val="en-GB"/>
        </w:rPr>
        <w:t>GloBE</w:t>
      </w:r>
      <w:proofErr w:type="spellEnd"/>
      <w:r w:rsidRPr="00873BD3">
        <w:rPr>
          <w:lang w:val="en-GB"/>
        </w:rPr>
        <w:t xml:space="preserve"> Income of the Constituent Entities in the jurisdiction shall be increased for the purposes of Article 2.2.2 in an amount equal to the additional Top-Up Tax due divided by the Minimum Rate. </w:t>
      </w:r>
    </w:p>
    <w:p w14:paraId="3174FD51" w14:textId="77777777" w:rsidR="00672AD5" w:rsidRPr="00873BD3" w:rsidRDefault="00672AD5" w:rsidP="00F80CB8">
      <w:pPr>
        <w:pStyle w:val="MParagraph"/>
        <w:numPr>
          <w:ilvl w:val="0"/>
          <w:numId w:val="15"/>
        </w:numPr>
        <w:spacing w:before="120" w:after="120"/>
        <w:ind w:left="1984" w:hanging="357"/>
        <w:rPr>
          <w:lang w:val="en-GB"/>
        </w:rPr>
      </w:pPr>
      <w:r w:rsidRPr="00873BD3">
        <w:rPr>
          <w:lang w:val="en-GB"/>
        </w:rPr>
        <w:lastRenderedPageBreak/>
        <w:t xml:space="preserve">Article 5.4.3 that deals with allocation of Additional Current Top-up Tax arising under Article 4.1.5. Under Article 4.1.5, Top-Up Tax may be due because of a negative Adjusted Covered Taxes Amount that represents a larger loss for the jurisdiction than the Expected Adjusted Covered Taxes Amount. </w:t>
      </w:r>
    </w:p>
    <w:p w14:paraId="7026D6FA" w14:textId="77777777" w:rsidR="00672AD5" w:rsidRPr="00873BD3" w:rsidRDefault="00672AD5" w:rsidP="00F80CB8">
      <w:pPr>
        <w:pStyle w:val="MParagraph"/>
        <w:numPr>
          <w:ilvl w:val="0"/>
          <w:numId w:val="15"/>
        </w:numPr>
        <w:spacing w:before="120" w:after="120"/>
        <w:ind w:left="1984" w:hanging="357"/>
        <w:rPr>
          <w:lang w:val="en-GB"/>
        </w:rPr>
      </w:pPr>
      <w:r w:rsidRPr="00873BD3">
        <w:rPr>
          <w:lang w:val="en-GB"/>
        </w:rPr>
        <w:t>Article 5.4.4 that treats the Constituent Entity to which the Additional Current Top-Up Tax is allocated as a Low-Tax Constituent Entity for purposes of Chapter 2 when Additional Top-Up Tax arises from a re-calculation under Articles 5.4.1 to 5.4.3.</w:t>
      </w:r>
    </w:p>
    <w:p w14:paraId="4416B14E" w14:textId="77777777" w:rsidR="00672AD5" w:rsidRPr="00873BD3" w:rsidRDefault="00672AD5" w:rsidP="004409EA">
      <w:pPr>
        <w:pStyle w:val="ListParagraph"/>
        <w:widowControl w:val="0"/>
        <w:numPr>
          <w:ilvl w:val="0"/>
          <w:numId w:val="9"/>
        </w:numPr>
        <w:tabs>
          <w:tab w:val="left" w:pos="-1440"/>
        </w:tabs>
        <w:autoSpaceDE w:val="0"/>
        <w:autoSpaceDN w:val="0"/>
        <w:adjustRightInd w:val="0"/>
        <w:spacing w:before="120" w:after="120" w:line="360" w:lineRule="auto"/>
        <w:ind w:left="1418" w:hanging="218"/>
        <w:jc w:val="both"/>
        <w:rPr>
          <w:rFonts w:eastAsia="Times New Roman" w:cstheme="minorHAnsi"/>
          <w:b/>
          <w:bCs/>
          <w:i/>
          <w:iCs/>
          <w:lang w:val="en-GB"/>
        </w:rPr>
      </w:pPr>
      <w:bookmarkStart w:id="24" w:name="_Hlk158732523"/>
      <w:r w:rsidRPr="00873BD3">
        <w:rPr>
          <w:rFonts w:eastAsia="Times New Roman" w:cstheme="minorHAnsi"/>
          <w:b/>
          <w:bCs/>
          <w:i/>
          <w:iCs/>
          <w:lang w:val="en-GB"/>
        </w:rPr>
        <w:t xml:space="preserve">Provisions in the </w:t>
      </w:r>
      <w:proofErr w:type="spellStart"/>
      <w:r w:rsidRPr="00873BD3">
        <w:rPr>
          <w:rFonts w:eastAsia="Times New Roman" w:cstheme="minorHAnsi"/>
          <w:b/>
          <w:bCs/>
          <w:i/>
          <w:iCs/>
          <w:lang w:val="en-GB"/>
        </w:rPr>
        <w:t>GloBE</w:t>
      </w:r>
      <w:proofErr w:type="spellEnd"/>
      <w:r w:rsidRPr="00873BD3">
        <w:rPr>
          <w:rFonts w:eastAsia="Times New Roman" w:cstheme="minorHAnsi"/>
          <w:b/>
          <w:bCs/>
          <w:i/>
          <w:iCs/>
          <w:lang w:val="en-GB"/>
        </w:rPr>
        <w:t xml:space="preserve"> Model Rules that modify how Chapter 2 of the </w:t>
      </w:r>
      <w:proofErr w:type="spellStart"/>
      <w:r w:rsidRPr="00873BD3">
        <w:rPr>
          <w:rFonts w:eastAsia="Times New Roman" w:cstheme="minorHAnsi"/>
          <w:b/>
          <w:bCs/>
          <w:i/>
          <w:iCs/>
          <w:lang w:val="en-GB"/>
        </w:rPr>
        <w:t>GloBE</w:t>
      </w:r>
      <w:proofErr w:type="spellEnd"/>
      <w:r w:rsidRPr="00873BD3">
        <w:rPr>
          <w:rFonts w:eastAsia="Times New Roman" w:cstheme="minorHAnsi"/>
          <w:b/>
          <w:bCs/>
          <w:i/>
          <w:iCs/>
          <w:lang w:val="en-GB"/>
        </w:rPr>
        <w:t xml:space="preserve"> Models Rules applies to </w:t>
      </w:r>
      <w:proofErr w:type="gramStart"/>
      <w:r w:rsidRPr="00873BD3">
        <w:rPr>
          <w:rFonts w:eastAsia="Times New Roman" w:cstheme="minorHAnsi"/>
          <w:b/>
          <w:bCs/>
          <w:i/>
          <w:iCs/>
          <w:lang w:val="en-GB"/>
        </w:rPr>
        <w:t>particular structures</w:t>
      </w:r>
      <w:proofErr w:type="gramEnd"/>
      <w:r w:rsidRPr="00873BD3">
        <w:rPr>
          <w:rFonts w:eastAsia="Times New Roman" w:cstheme="minorHAnsi"/>
          <w:b/>
          <w:bCs/>
          <w:i/>
          <w:iCs/>
          <w:lang w:val="en-GB"/>
        </w:rPr>
        <w:t xml:space="preserve">  </w:t>
      </w:r>
    </w:p>
    <w:bookmarkEnd w:id="24"/>
    <w:p w14:paraId="5DCC6173" w14:textId="77777777" w:rsidR="00672AD5" w:rsidRPr="00873BD3" w:rsidRDefault="00672AD5" w:rsidP="004409EA">
      <w:pPr>
        <w:pStyle w:val="MParagraph"/>
        <w:ind w:left="1418"/>
        <w:rPr>
          <w:lang w:val="en-GB"/>
        </w:rPr>
      </w:pPr>
      <w:r w:rsidRPr="00873BD3">
        <w:rPr>
          <w:lang w:val="en-GB"/>
        </w:rPr>
        <w:t xml:space="preserve">Certain provisions of the </w:t>
      </w:r>
      <w:proofErr w:type="spellStart"/>
      <w:r w:rsidRPr="00873BD3">
        <w:rPr>
          <w:lang w:val="en-GB"/>
        </w:rPr>
        <w:t>GloBE</w:t>
      </w:r>
      <w:proofErr w:type="spellEnd"/>
      <w:r w:rsidRPr="00873BD3">
        <w:rPr>
          <w:lang w:val="en-GB"/>
        </w:rPr>
        <w:t xml:space="preserve"> Model Rules modify how Chapter 2 applies to </w:t>
      </w:r>
      <w:proofErr w:type="gramStart"/>
      <w:r w:rsidRPr="00873BD3">
        <w:rPr>
          <w:lang w:val="en-GB"/>
        </w:rPr>
        <w:t>particular structures</w:t>
      </w:r>
      <w:proofErr w:type="gramEnd"/>
      <w:r w:rsidRPr="00873BD3">
        <w:rPr>
          <w:lang w:val="en-GB"/>
        </w:rPr>
        <w:t xml:space="preserve"> and do not need to be incorporated into the DMTT. The following provisions of the </w:t>
      </w:r>
      <w:proofErr w:type="spellStart"/>
      <w:r w:rsidRPr="00873BD3">
        <w:rPr>
          <w:lang w:val="en-GB"/>
        </w:rPr>
        <w:t>GloBE</w:t>
      </w:r>
      <w:proofErr w:type="spellEnd"/>
      <w:r w:rsidRPr="00873BD3">
        <w:rPr>
          <w:lang w:val="en-GB"/>
        </w:rPr>
        <w:t xml:space="preserve"> Model Rules shall not apply: </w:t>
      </w:r>
    </w:p>
    <w:p w14:paraId="04C3541E" w14:textId="77777777" w:rsidR="00672AD5" w:rsidRPr="00873BD3" w:rsidRDefault="00672AD5" w:rsidP="00F80CB8">
      <w:pPr>
        <w:pStyle w:val="MParagraph"/>
        <w:numPr>
          <w:ilvl w:val="0"/>
          <w:numId w:val="16"/>
        </w:numPr>
        <w:spacing w:before="120" w:after="120"/>
        <w:ind w:left="1984" w:hanging="357"/>
        <w:rPr>
          <w:lang w:val="en-ZA"/>
        </w:rPr>
      </w:pPr>
      <w:r w:rsidRPr="00873BD3">
        <w:rPr>
          <w:lang w:val="en-GB"/>
        </w:rPr>
        <w:t xml:space="preserve">Article 6.2.1(h) deals with the situation in which the target is required to apply the IIR as a Parent Entity of one or both MNE Groups. It provides that the target shall apply the IIR separately to its Allocable Shares of the Top-Up Tax of Low-Taxed Constituent Entities determined for each MNE Group. </w:t>
      </w:r>
    </w:p>
    <w:p w14:paraId="547EC67C" w14:textId="77777777" w:rsidR="00672AD5" w:rsidRPr="00873BD3" w:rsidRDefault="00672AD5" w:rsidP="00F80CB8">
      <w:pPr>
        <w:pStyle w:val="MParagraph"/>
        <w:numPr>
          <w:ilvl w:val="0"/>
          <w:numId w:val="16"/>
        </w:numPr>
        <w:spacing w:before="120" w:after="120"/>
        <w:ind w:left="1984" w:hanging="357"/>
        <w:rPr>
          <w:lang w:val="en-ZA"/>
        </w:rPr>
      </w:pPr>
      <w:r w:rsidRPr="00873BD3">
        <w:rPr>
          <w:lang w:val="en-GB"/>
        </w:rPr>
        <w:t>Articles 6.4.1(b) and 6.4.1(c) which describes how the IIR and UTPR is applied in the context to Joint Ventures (JVs) and JV Subsidiaries.</w:t>
      </w:r>
    </w:p>
    <w:p w14:paraId="1E9156BF" w14:textId="77777777" w:rsidR="00672AD5" w:rsidRPr="00873BD3" w:rsidRDefault="00672AD5" w:rsidP="00F80CB8">
      <w:pPr>
        <w:pStyle w:val="MParagraph"/>
        <w:numPr>
          <w:ilvl w:val="0"/>
          <w:numId w:val="16"/>
        </w:numPr>
        <w:spacing w:before="120" w:after="120"/>
        <w:ind w:left="1984" w:hanging="357"/>
        <w:rPr>
          <w:lang w:val="en-ZA"/>
        </w:rPr>
      </w:pPr>
      <w:r w:rsidRPr="00873BD3">
        <w:rPr>
          <w:lang w:val="en-GB"/>
        </w:rPr>
        <w:t xml:space="preserve">Article 6.5.1(e) and (f) that describes how the IIR and UTPR is applied in the context of Multi-Parented MNE Group. </w:t>
      </w:r>
    </w:p>
    <w:p w14:paraId="11592713" w14:textId="1577B30D" w:rsidR="00672AD5" w:rsidRPr="00873BD3" w:rsidRDefault="00672AD5" w:rsidP="004409EA">
      <w:pPr>
        <w:pStyle w:val="ListParagraph"/>
        <w:widowControl w:val="0"/>
        <w:numPr>
          <w:ilvl w:val="0"/>
          <w:numId w:val="9"/>
        </w:numPr>
        <w:tabs>
          <w:tab w:val="left" w:pos="-1440"/>
        </w:tabs>
        <w:autoSpaceDE w:val="0"/>
        <w:autoSpaceDN w:val="0"/>
        <w:adjustRightInd w:val="0"/>
        <w:spacing w:before="120" w:after="120" w:line="360" w:lineRule="auto"/>
        <w:ind w:left="1418" w:hanging="218"/>
        <w:jc w:val="both"/>
        <w:rPr>
          <w:rFonts w:eastAsia="Times New Roman" w:cstheme="minorHAnsi"/>
          <w:b/>
          <w:bCs/>
          <w:i/>
          <w:iCs/>
          <w:lang w:val="en-GB"/>
        </w:rPr>
      </w:pPr>
      <w:bookmarkStart w:id="25" w:name="_Hlk158732643"/>
      <w:r w:rsidRPr="00873BD3">
        <w:rPr>
          <w:rFonts w:eastAsia="Times New Roman" w:cstheme="minorHAnsi"/>
          <w:b/>
          <w:bCs/>
          <w:i/>
          <w:iCs/>
          <w:lang w:val="en-GB"/>
        </w:rPr>
        <w:t xml:space="preserve">Article 7.3 dealing with Eligible Distribution Systems  </w:t>
      </w:r>
    </w:p>
    <w:bookmarkEnd w:id="25"/>
    <w:p w14:paraId="243CB369" w14:textId="77777777" w:rsidR="00672AD5" w:rsidRPr="00873BD3" w:rsidRDefault="00672AD5" w:rsidP="004409EA">
      <w:pPr>
        <w:pStyle w:val="MParagraph"/>
        <w:ind w:left="1418"/>
        <w:rPr>
          <w:b/>
          <w:bCs/>
          <w:lang w:val="en-ZA"/>
        </w:rPr>
      </w:pPr>
      <w:r w:rsidRPr="00873BD3">
        <w:rPr>
          <w:lang w:val="en-GB"/>
        </w:rPr>
        <w:t xml:space="preserve">Article 7.3 of the </w:t>
      </w:r>
      <w:proofErr w:type="spellStart"/>
      <w:r w:rsidRPr="00873BD3">
        <w:rPr>
          <w:lang w:val="en-GB"/>
        </w:rPr>
        <w:t>GloBE</w:t>
      </w:r>
      <w:proofErr w:type="spellEnd"/>
      <w:r w:rsidRPr="00873BD3">
        <w:rPr>
          <w:lang w:val="en-GB"/>
        </w:rPr>
        <w:t xml:space="preserve"> Model Rules (Eligible Distribution Tax Systems) shall not apply because these rules will have no effect for a DMTT unless the jurisdiction had a distribution tax system prior to 1 July 2021. </w:t>
      </w:r>
    </w:p>
    <w:p w14:paraId="7EAE38D3" w14:textId="77777777" w:rsidR="00672AD5" w:rsidRPr="00873BD3" w:rsidRDefault="00672AD5" w:rsidP="004409EA">
      <w:pPr>
        <w:pStyle w:val="ListParagraph"/>
        <w:widowControl w:val="0"/>
        <w:numPr>
          <w:ilvl w:val="0"/>
          <w:numId w:val="9"/>
        </w:numPr>
        <w:tabs>
          <w:tab w:val="left" w:pos="-1440"/>
        </w:tabs>
        <w:autoSpaceDE w:val="0"/>
        <w:autoSpaceDN w:val="0"/>
        <w:adjustRightInd w:val="0"/>
        <w:spacing w:before="120" w:after="120" w:line="360" w:lineRule="auto"/>
        <w:ind w:left="1418" w:hanging="218"/>
        <w:jc w:val="both"/>
        <w:rPr>
          <w:rFonts w:eastAsia="Times New Roman" w:cstheme="minorHAnsi"/>
          <w:b/>
          <w:bCs/>
          <w:i/>
          <w:iCs/>
          <w:lang w:val="en-GB"/>
        </w:rPr>
      </w:pPr>
      <w:r w:rsidRPr="00873BD3">
        <w:rPr>
          <w:rFonts w:eastAsia="Times New Roman" w:cstheme="minorHAnsi"/>
          <w:b/>
          <w:bCs/>
          <w:i/>
          <w:iCs/>
          <w:lang w:val="en-GB"/>
        </w:rPr>
        <w:t xml:space="preserve">Definition of a QDMTT in Article 10.1 of the </w:t>
      </w:r>
      <w:proofErr w:type="spellStart"/>
      <w:r w:rsidRPr="00873BD3">
        <w:rPr>
          <w:rFonts w:eastAsia="Times New Roman" w:cstheme="minorHAnsi"/>
          <w:b/>
          <w:bCs/>
          <w:i/>
          <w:iCs/>
          <w:lang w:val="en-GB"/>
        </w:rPr>
        <w:t>GloBE</w:t>
      </w:r>
      <w:proofErr w:type="spellEnd"/>
      <w:r w:rsidRPr="00873BD3">
        <w:rPr>
          <w:rFonts w:eastAsia="Times New Roman" w:cstheme="minorHAnsi"/>
          <w:b/>
          <w:bCs/>
          <w:i/>
          <w:iCs/>
          <w:lang w:val="en-GB"/>
        </w:rPr>
        <w:t xml:space="preserve"> Model Rules</w:t>
      </w:r>
    </w:p>
    <w:p w14:paraId="79017567" w14:textId="77777777" w:rsidR="00672AD5" w:rsidRPr="00873BD3" w:rsidRDefault="00672AD5" w:rsidP="00F80CB8">
      <w:pPr>
        <w:pStyle w:val="MParagraph"/>
        <w:numPr>
          <w:ilvl w:val="0"/>
          <w:numId w:val="17"/>
        </w:numPr>
        <w:spacing w:before="120" w:after="120"/>
        <w:ind w:left="1843" w:hanging="357"/>
        <w:rPr>
          <w:lang w:val="en-GB"/>
        </w:rPr>
      </w:pPr>
      <w:r w:rsidRPr="00873BD3">
        <w:rPr>
          <w:lang w:val="en-GB"/>
        </w:rPr>
        <w:t xml:space="preserve">The definition of a Qualified DMTT (QDMTT) in Article 10.1 of the </w:t>
      </w:r>
      <w:proofErr w:type="spellStart"/>
      <w:r w:rsidRPr="00873BD3">
        <w:rPr>
          <w:lang w:val="en-GB"/>
        </w:rPr>
        <w:t>GloBE</w:t>
      </w:r>
      <w:proofErr w:type="spellEnd"/>
      <w:r w:rsidRPr="00873BD3">
        <w:rPr>
          <w:lang w:val="en-GB"/>
        </w:rPr>
        <w:t xml:space="preserve"> Model Rules is disapplied because the Commentary to the QDMTT sets out multiple ways a jurisdiction could design its DMTT. It would be consequently unclear which of these ways applied if the QDMTT Commentary was incorporated. </w:t>
      </w:r>
    </w:p>
    <w:p w14:paraId="4801FBB6" w14:textId="77777777" w:rsidR="00672AD5" w:rsidRPr="00873BD3" w:rsidRDefault="00672AD5" w:rsidP="00F80CB8">
      <w:pPr>
        <w:pStyle w:val="MParagraph"/>
        <w:numPr>
          <w:ilvl w:val="0"/>
          <w:numId w:val="17"/>
        </w:numPr>
        <w:spacing w:before="120" w:after="120"/>
        <w:ind w:left="1843" w:hanging="357"/>
        <w:rPr>
          <w:lang w:val="en-GB"/>
        </w:rPr>
      </w:pPr>
      <w:r w:rsidRPr="00873BD3">
        <w:rPr>
          <w:lang w:val="en-GB"/>
        </w:rPr>
        <w:lastRenderedPageBreak/>
        <w:t xml:space="preserve">The QDMTT Safe Harbour is disapplied because the safe harbour only affects the application of the IIR and UTPR. </w:t>
      </w:r>
    </w:p>
    <w:p w14:paraId="0F22425F" w14:textId="77777777" w:rsidR="00672AD5" w:rsidRPr="00873BD3" w:rsidRDefault="00672AD5" w:rsidP="004409EA">
      <w:pPr>
        <w:pStyle w:val="MH5"/>
      </w:pPr>
      <w:bookmarkStart w:id="26" w:name="_Hlk158042802"/>
      <w:bookmarkStart w:id="27" w:name="_Toc178613735"/>
      <w:bookmarkStart w:id="28" w:name="_Toc178687651"/>
      <w:r w:rsidRPr="00873BD3">
        <w:t xml:space="preserve">Computation of Adjusted </w:t>
      </w:r>
      <w:r w:rsidRPr="003B1B72">
        <w:rPr>
          <w:sz w:val="28"/>
          <w:szCs w:val="28"/>
        </w:rPr>
        <w:t>Covered</w:t>
      </w:r>
      <w:r w:rsidRPr="00873BD3">
        <w:t xml:space="preserve"> Taxes</w:t>
      </w:r>
      <w:bookmarkEnd w:id="26"/>
      <w:bookmarkEnd w:id="27"/>
      <w:bookmarkEnd w:id="28"/>
    </w:p>
    <w:p w14:paraId="3058F467" w14:textId="77777777" w:rsidR="00672AD5" w:rsidRPr="00873BD3" w:rsidRDefault="00672AD5" w:rsidP="004409EA">
      <w:pPr>
        <w:pStyle w:val="ListParagraph"/>
        <w:numPr>
          <w:ilvl w:val="0"/>
          <w:numId w:val="11"/>
        </w:numPr>
        <w:spacing w:line="259" w:lineRule="auto"/>
        <w:ind w:left="1418" w:hanging="425"/>
        <w:jc w:val="both"/>
        <w:rPr>
          <w:rFonts w:eastAsia="Times New Roman" w:cstheme="minorHAnsi"/>
          <w:b/>
          <w:bCs/>
          <w:lang w:val="en-GB"/>
        </w:rPr>
      </w:pPr>
      <w:bookmarkStart w:id="29" w:name="_Hlk158042607"/>
      <w:r w:rsidRPr="00873BD3">
        <w:rPr>
          <w:rFonts w:eastAsia="Times New Roman" w:cstheme="minorHAnsi"/>
          <w:b/>
          <w:bCs/>
          <w:lang w:val="en-GB"/>
        </w:rPr>
        <w:t xml:space="preserve">Exclusion of certain foreign taxes on domestic income. </w:t>
      </w:r>
    </w:p>
    <w:bookmarkEnd w:id="29"/>
    <w:p w14:paraId="5FA4EE9B" w14:textId="77777777" w:rsidR="00672AD5" w:rsidRPr="00873BD3" w:rsidRDefault="00672AD5" w:rsidP="004409EA">
      <w:pPr>
        <w:pStyle w:val="MParagraph"/>
        <w:ind w:left="1418"/>
      </w:pPr>
      <w:r w:rsidRPr="00873BD3">
        <w:t xml:space="preserve">The </w:t>
      </w:r>
      <w:proofErr w:type="spellStart"/>
      <w:r w:rsidRPr="00873BD3">
        <w:t>GloBE</w:t>
      </w:r>
      <w:proofErr w:type="spellEnd"/>
      <w:r w:rsidRPr="00873BD3">
        <w:t xml:space="preserve"> Model Rules stipulate that the Adjusted Covered Taxes for each Domestic Constituent Entity are to be calculated by including any tax accrued by a Constituent Entity-owner located in another jurisdiction with respect to the </w:t>
      </w:r>
      <w:proofErr w:type="spellStart"/>
      <w:r w:rsidRPr="00873BD3">
        <w:t>GloBE</w:t>
      </w:r>
      <w:proofErr w:type="spellEnd"/>
      <w:r w:rsidRPr="00873BD3">
        <w:t xml:space="preserve"> Income of a Domestic Constituent Entity. The </w:t>
      </w:r>
      <w:proofErr w:type="spellStart"/>
      <w:r w:rsidRPr="00873BD3">
        <w:t>GloBE</w:t>
      </w:r>
      <w:proofErr w:type="spellEnd"/>
      <w:r w:rsidRPr="00873BD3">
        <w:t xml:space="preserve"> rules that allocate taxes of a Constituent Entity-owner are:  </w:t>
      </w:r>
    </w:p>
    <w:p w14:paraId="55628C52" w14:textId="77777777" w:rsidR="00672AD5" w:rsidRPr="00873BD3" w:rsidRDefault="00672AD5" w:rsidP="00F80CB8">
      <w:pPr>
        <w:pStyle w:val="ListParagraph"/>
        <w:widowControl w:val="0"/>
        <w:numPr>
          <w:ilvl w:val="0"/>
          <w:numId w:val="10"/>
        </w:numPr>
        <w:tabs>
          <w:tab w:val="left" w:pos="-1440"/>
        </w:tabs>
        <w:autoSpaceDE w:val="0"/>
        <w:autoSpaceDN w:val="0"/>
        <w:adjustRightInd w:val="0"/>
        <w:spacing w:before="120" w:after="120" w:line="360" w:lineRule="auto"/>
        <w:ind w:left="2126"/>
        <w:contextualSpacing w:val="0"/>
        <w:jc w:val="both"/>
        <w:rPr>
          <w:rFonts w:eastAsia="Times New Roman" w:cstheme="minorHAnsi"/>
        </w:rPr>
      </w:pPr>
      <w:r w:rsidRPr="00873BD3">
        <w:rPr>
          <w:rFonts w:eastAsia="Times New Roman" w:cstheme="minorHAnsi"/>
        </w:rPr>
        <w:t xml:space="preserve">Article 4.3.2(a) of the </w:t>
      </w:r>
      <w:proofErr w:type="spellStart"/>
      <w:r w:rsidRPr="00873BD3">
        <w:rPr>
          <w:rFonts w:eastAsia="Times New Roman" w:cstheme="minorHAnsi"/>
        </w:rPr>
        <w:t>GloBE</w:t>
      </w:r>
      <w:proofErr w:type="spellEnd"/>
      <w:r w:rsidRPr="00873BD3">
        <w:rPr>
          <w:rFonts w:eastAsia="Times New Roman" w:cstheme="minorHAnsi"/>
        </w:rPr>
        <w:t xml:space="preserve"> Model Rules which allocates such taxes to a Permanent Establishment, </w:t>
      </w:r>
    </w:p>
    <w:p w14:paraId="40AE01BA" w14:textId="77777777" w:rsidR="00672AD5" w:rsidRPr="00873BD3" w:rsidRDefault="00672AD5" w:rsidP="00F80CB8">
      <w:pPr>
        <w:pStyle w:val="ListParagraph"/>
        <w:widowControl w:val="0"/>
        <w:numPr>
          <w:ilvl w:val="0"/>
          <w:numId w:val="10"/>
        </w:numPr>
        <w:tabs>
          <w:tab w:val="left" w:pos="-1440"/>
        </w:tabs>
        <w:autoSpaceDE w:val="0"/>
        <w:autoSpaceDN w:val="0"/>
        <w:adjustRightInd w:val="0"/>
        <w:spacing w:before="120" w:after="120" w:line="360" w:lineRule="auto"/>
        <w:ind w:left="2126"/>
        <w:contextualSpacing w:val="0"/>
        <w:jc w:val="both"/>
        <w:rPr>
          <w:rFonts w:eastAsia="Times New Roman" w:cstheme="minorHAnsi"/>
        </w:rPr>
      </w:pPr>
      <w:r w:rsidRPr="00873BD3">
        <w:rPr>
          <w:rFonts w:eastAsia="Times New Roman" w:cstheme="minorHAnsi"/>
        </w:rPr>
        <w:t xml:space="preserve">Article 4.3.2(c) of the </w:t>
      </w:r>
      <w:proofErr w:type="spellStart"/>
      <w:r w:rsidRPr="00873BD3">
        <w:rPr>
          <w:rFonts w:eastAsia="Times New Roman" w:cstheme="minorHAnsi"/>
        </w:rPr>
        <w:t>GloBE</w:t>
      </w:r>
      <w:proofErr w:type="spellEnd"/>
      <w:r w:rsidRPr="00873BD3">
        <w:rPr>
          <w:rFonts w:eastAsia="Times New Roman" w:cstheme="minorHAnsi"/>
        </w:rPr>
        <w:t xml:space="preserve"> Model Rules which allocates such taxes to a controlled foreign company; and </w:t>
      </w:r>
    </w:p>
    <w:p w14:paraId="6E851189" w14:textId="77777777" w:rsidR="00672AD5" w:rsidRPr="00873BD3" w:rsidRDefault="00672AD5" w:rsidP="00F80CB8">
      <w:pPr>
        <w:pStyle w:val="ListParagraph"/>
        <w:widowControl w:val="0"/>
        <w:numPr>
          <w:ilvl w:val="0"/>
          <w:numId w:val="10"/>
        </w:numPr>
        <w:tabs>
          <w:tab w:val="left" w:pos="-1440"/>
        </w:tabs>
        <w:autoSpaceDE w:val="0"/>
        <w:autoSpaceDN w:val="0"/>
        <w:adjustRightInd w:val="0"/>
        <w:spacing w:before="120" w:after="120" w:line="360" w:lineRule="auto"/>
        <w:ind w:left="2126"/>
        <w:contextualSpacing w:val="0"/>
        <w:jc w:val="both"/>
        <w:rPr>
          <w:rFonts w:eastAsia="Times New Roman" w:cstheme="minorHAnsi"/>
        </w:rPr>
      </w:pPr>
      <w:r w:rsidRPr="00873BD3">
        <w:rPr>
          <w:rFonts w:eastAsia="Times New Roman" w:cstheme="minorHAnsi"/>
        </w:rPr>
        <w:t xml:space="preserve">Article 4.3.2(d) of the </w:t>
      </w:r>
      <w:proofErr w:type="spellStart"/>
      <w:r w:rsidRPr="00873BD3">
        <w:rPr>
          <w:rFonts w:eastAsia="Times New Roman" w:cstheme="minorHAnsi"/>
        </w:rPr>
        <w:t>GloBE</w:t>
      </w:r>
      <w:proofErr w:type="spellEnd"/>
      <w:r w:rsidRPr="00873BD3">
        <w:rPr>
          <w:rFonts w:eastAsia="Times New Roman" w:cstheme="minorHAnsi"/>
        </w:rPr>
        <w:t xml:space="preserve"> Model Rules which allocates such taxes to hybrid entities. </w:t>
      </w:r>
    </w:p>
    <w:p w14:paraId="01FEB43A" w14:textId="77777777" w:rsidR="00672AD5" w:rsidRPr="00873BD3" w:rsidRDefault="00672AD5" w:rsidP="004409EA">
      <w:pPr>
        <w:pStyle w:val="MParagraph"/>
        <w:ind w:left="1418"/>
      </w:pPr>
      <w:r w:rsidRPr="00873BD3">
        <w:t xml:space="preserve">All these allocations are disregarded under the DMTT. In addition, taxes on dividends or other distribution that would otherwise be allocated to a distributing Domestic Constituent Entity under Article 4.3.2(e) of the </w:t>
      </w:r>
      <w:proofErr w:type="spellStart"/>
      <w:r w:rsidRPr="00873BD3">
        <w:t>GloBE</w:t>
      </w:r>
      <w:proofErr w:type="spellEnd"/>
      <w:r w:rsidRPr="00873BD3">
        <w:t xml:space="preserve"> Model Rules shall also be excluded from the DMTT calculation. </w:t>
      </w:r>
    </w:p>
    <w:p w14:paraId="06763659" w14:textId="77777777" w:rsidR="00672AD5" w:rsidRPr="00873BD3" w:rsidRDefault="00672AD5" w:rsidP="00F80CB8">
      <w:pPr>
        <w:pStyle w:val="ListParagraph"/>
        <w:keepNext/>
        <w:keepLines/>
        <w:numPr>
          <w:ilvl w:val="0"/>
          <w:numId w:val="11"/>
        </w:numPr>
        <w:spacing w:line="259" w:lineRule="auto"/>
        <w:ind w:left="1417" w:hanging="357"/>
        <w:jc w:val="both"/>
        <w:rPr>
          <w:rFonts w:eastAsia="Times New Roman" w:cstheme="minorHAnsi"/>
          <w:b/>
          <w:bCs/>
          <w:lang w:val="en-GB"/>
        </w:rPr>
      </w:pPr>
      <w:r w:rsidRPr="00873BD3">
        <w:rPr>
          <w:rFonts w:eastAsia="Times New Roman" w:cstheme="minorHAnsi"/>
          <w:b/>
          <w:bCs/>
          <w:lang w:val="en-GB"/>
        </w:rPr>
        <w:t xml:space="preserve">Exclusion of domestic taxes on certain foreign income </w:t>
      </w:r>
    </w:p>
    <w:p w14:paraId="000FAB55" w14:textId="77777777" w:rsidR="00672AD5" w:rsidRPr="00873BD3" w:rsidRDefault="00672AD5" w:rsidP="004409EA">
      <w:pPr>
        <w:pStyle w:val="MParagraph"/>
        <w:ind w:left="1418"/>
      </w:pPr>
      <w:r w:rsidRPr="00873BD3">
        <w:t xml:space="preserve">The Adjusted Covered Taxes for each Domestic Constituent Entity are to be calculated excluding tax accrued by Domestic Constituent Entities with respect to the income of, or dividends received from, Constituent Entities located in another jurisdiction. </w:t>
      </w:r>
    </w:p>
    <w:p w14:paraId="742C9BCA" w14:textId="77777777" w:rsidR="00672AD5" w:rsidRPr="00873BD3" w:rsidRDefault="00672AD5" w:rsidP="004409EA">
      <w:pPr>
        <w:pStyle w:val="MH5"/>
      </w:pPr>
      <w:bookmarkStart w:id="30" w:name="_Hlk158044710"/>
      <w:bookmarkStart w:id="31" w:name="_Toc178613736"/>
      <w:bookmarkStart w:id="32" w:name="_Toc178687652"/>
      <w:r w:rsidRPr="00873BD3">
        <w:t>Computation of Top-up Tax</w:t>
      </w:r>
      <w:bookmarkEnd w:id="30"/>
      <w:bookmarkEnd w:id="31"/>
      <w:bookmarkEnd w:id="32"/>
    </w:p>
    <w:p w14:paraId="6E619243" w14:textId="77777777" w:rsidR="00672AD5" w:rsidRPr="00873BD3" w:rsidRDefault="00672AD5" w:rsidP="004409EA">
      <w:pPr>
        <w:pStyle w:val="ListParagraph"/>
        <w:numPr>
          <w:ilvl w:val="0"/>
          <w:numId w:val="12"/>
        </w:numPr>
        <w:spacing w:before="200" w:line="259" w:lineRule="auto"/>
        <w:ind w:left="1276" w:hanging="283"/>
        <w:contextualSpacing w:val="0"/>
        <w:jc w:val="both"/>
        <w:rPr>
          <w:rFonts w:eastAsia="Times New Roman" w:cstheme="minorHAnsi"/>
          <w:b/>
          <w:bCs/>
          <w:lang w:val="en-GB"/>
        </w:rPr>
      </w:pPr>
      <w:bookmarkStart w:id="33" w:name="_Hlk158043508"/>
      <w:r w:rsidRPr="00873BD3">
        <w:rPr>
          <w:rFonts w:eastAsia="Times New Roman" w:cstheme="minorHAnsi"/>
          <w:b/>
          <w:bCs/>
          <w:lang w:val="en-GB"/>
        </w:rPr>
        <w:t xml:space="preserve">Total Top-up Tax of Domestic Constituent Entities of the MNE Group </w:t>
      </w:r>
    </w:p>
    <w:p w14:paraId="303501F6" w14:textId="77777777" w:rsidR="00672AD5" w:rsidRPr="00873BD3" w:rsidRDefault="00672AD5" w:rsidP="004409EA">
      <w:pPr>
        <w:pStyle w:val="MParagraph"/>
        <w:ind w:left="1276"/>
      </w:pPr>
      <w:bookmarkStart w:id="34" w:name="_Hlk158043606"/>
      <w:bookmarkEnd w:id="33"/>
      <w:r w:rsidRPr="00873BD3">
        <w:t xml:space="preserve">The Top-Up Tax of Domestic Constituent Entities of the MNE Group shall be equal to the sum of the DMTT Jurisdictional Top-up Tax. The Jurisdictional Top-up Tax that is subject to the DMTT is based on the whole amount of the Jurisdictional Top-up Tax computed under Article 5.2.3 of the </w:t>
      </w:r>
      <w:proofErr w:type="spellStart"/>
      <w:r w:rsidRPr="00873BD3">
        <w:t>GloBE</w:t>
      </w:r>
      <w:proofErr w:type="spellEnd"/>
      <w:r w:rsidRPr="00873BD3">
        <w:t xml:space="preserve"> Model Rules, irrespective of the Ownership Interests </w:t>
      </w:r>
      <w:r w:rsidRPr="00873BD3">
        <w:lastRenderedPageBreak/>
        <w:t>held in the Constituent Entities located in the Republic by any Parent Entity of the MNE Group.</w:t>
      </w:r>
    </w:p>
    <w:p w14:paraId="162D9800" w14:textId="77777777" w:rsidR="00672AD5" w:rsidRPr="00873BD3" w:rsidRDefault="00672AD5" w:rsidP="004409EA">
      <w:pPr>
        <w:pStyle w:val="MParagraph"/>
        <w:ind w:left="1276"/>
        <w:rPr>
          <w:rFonts w:eastAsia="Times New Roman" w:cstheme="minorHAnsi"/>
        </w:rPr>
      </w:pPr>
      <w:r w:rsidRPr="00873BD3">
        <w:rPr>
          <w:rFonts w:eastAsia="Times New Roman" w:cstheme="minorHAnsi"/>
        </w:rPr>
        <w:t xml:space="preserve">Under Article 6.4 of the </w:t>
      </w:r>
      <w:proofErr w:type="spellStart"/>
      <w:r w:rsidRPr="00873BD3">
        <w:rPr>
          <w:rFonts w:eastAsia="Times New Roman" w:cstheme="minorHAnsi"/>
        </w:rPr>
        <w:t>GloBE</w:t>
      </w:r>
      <w:proofErr w:type="spellEnd"/>
      <w:r w:rsidRPr="00873BD3">
        <w:rPr>
          <w:rFonts w:eastAsia="Times New Roman" w:cstheme="minorHAnsi"/>
        </w:rPr>
        <w:t xml:space="preserve"> Model Rules, the ETR and Top-up Tax for Joint Ventures and JV </w:t>
      </w:r>
      <w:r w:rsidRPr="004409EA">
        <w:t>Subsidiaries</w:t>
      </w:r>
      <w:r w:rsidRPr="00873BD3">
        <w:rPr>
          <w:rFonts w:eastAsia="Times New Roman" w:cstheme="minorHAnsi"/>
        </w:rPr>
        <w:t xml:space="preserve"> located in each jurisdiction are computed separately from the ETR and Top-up Tax of the Constituent Entities in the same jurisdiction. As the results of these computations may be different from the results of a blended ETR and Top-up Tax computation, a DMTT must also determine a separate ETR and Top-up Tax amount for Joint Ventures and JV Subsidiaries located in the jurisdiction to be functionally equivalent to the </w:t>
      </w:r>
      <w:proofErr w:type="spellStart"/>
      <w:r w:rsidRPr="00873BD3">
        <w:rPr>
          <w:rFonts w:eastAsia="Times New Roman" w:cstheme="minorHAnsi"/>
        </w:rPr>
        <w:t>GloBE</w:t>
      </w:r>
      <w:proofErr w:type="spellEnd"/>
      <w:r w:rsidRPr="00873BD3">
        <w:rPr>
          <w:rFonts w:eastAsia="Times New Roman" w:cstheme="minorHAnsi"/>
        </w:rPr>
        <w:t xml:space="preserve"> Model Rules.</w:t>
      </w:r>
    </w:p>
    <w:p w14:paraId="6E2CF211" w14:textId="549B6049" w:rsidR="00672AD5" w:rsidRPr="00873BD3" w:rsidRDefault="00672AD5" w:rsidP="004409EA">
      <w:pPr>
        <w:pStyle w:val="ListParagraph"/>
        <w:numPr>
          <w:ilvl w:val="0"/>
          <w:numId w:val="12"/>
        </w:numPr>
        <w:spacing w:before="200" w:line="259" w:lineRule="auto"/>
        <w:ind w:left="1276" w:hanging="283"/>
        <w:contextualSpacing w:val="0"/>
        <w:jc w:val="both"/>
        <w:rPr>
          <w:rFonts w:eastAsia="Times New Roman" w:cstheme="minorHAnsi"/>
          <w:b/>
          <w:bCs/>
          <w:lang w:val="en-GB"/>
        </w:rPr>
      </w:pPr>
      <w:r w:rsidRPr="00873BD3">
        <w:rPr>
          <w:rFonts w:eastAsia="Times New Roman" w:cstheme="minorHAnsi"/>
        </w:rPr>
        <w:t xml:space="preserve"> </w:t>
      </w:r>
      <w:bookmarkEnd w:id="34"/>
      <w:r w:rsidRPr="00873BD3">
        <w:rPr>
          <w:rFonts w:eastAsia="Times New Roman" w:cstheme="minorHAnsi"/>
          <w:b/>
          <w:bCs/>
          <w:lang w:val="en-GB"/>
        </w:rPr>
        <w:t>Top-up Tax of a Domestic JV Group</w:t>
      </w:r>
    </w:p>
    <w:p w14:paraId="4D4F6D9C" w14:textId="77777777" w:rsidR="00672AD5" w:rsidRPr="00873BD3" w:rsidRDefault="00672AD5" w:rsidP="004409EA">
      <w:pPr>
        <w:pStyle w:val="MParagraph"/>
        <w:ind w:left="1276"/>
        <w:rPr>
          <w:rFonts w:cstheme="minorHAnsi"/>
        </w:rPr>
      </w:pPr>
      <w:r w:rsidRPr="00873BD3">
        <w:rPr>
          <w:rFonts w:eastAsia="Times New Roman" w:cstheme="minorHAnsi"/>
        </w:rPr>
        <w:t xml:space="preserve">The Top-up Tax of a Domestic JV Group shall be equal to the </w:t>
      </w:r>
      <w:r w:rsidRPr="00873BD3">
        <w:rPr>
          <w:rFonts w:cstheme="minorHAnsi"/>
        </w:rPr>
        <w:t>DMTT Jurisdictional Top</w:t>
      </w:r>
      <w:r w:rsidRPr="00873BD3">
        <w:rPr>
          <w:rFonts w:eastAsia="Times New Roman" w:cstheme="minorHAnsi"/>
        </w:rPr>
        <w:t>-</w:t>
      </w:r>
      <w:r w:rsidRPr="00873BD3">
        <w:rPr>
          <w:rFonts w:cstheme="minorHAnsi"/>
        </w:rPr>
        <w:t xml:space="preserve">up Tax </w:t>
      </w:r>
      <w:r w:rsidRPr="00873BD3">
        <w:rPr>
          <w:rFonts w:eastAsia="Times New Roman" w:cstheme="minorHAnsi"/>
        </w:rPr>
        <w:t>calculated for a JV Group.</w:t>
      </w:r>
    </w:p>
    <w:p w14:paraId="7B2CE830" w14:textId="77777777" w:rsidR="00672AD5" w:rsidRPr="00873BD3" w:rsidRDefault="00672AD5" w:rsidP="004409EA">
      <w:pPr>
        <w:pStyle w:val="ListParagraph"/>
        <w:numPr>
          <w:ilvl w:val="0"/>
          <w:numId w:val="12"/>
        </w:numPr>
        <w:spacing w:before="200" w:line="259" w:lineRule="auto"/>
        <w:ind w:left="1276" w:hanging="283"/>
        <w:contextualSpacing w:val="0"/>
        <w:jc w:val="both"/>
        <w:rPr>
          <w:rFonts w:eastAsia="Times New Roman" w:cstheme="minorHAnsi"/>
          <w:b/>
          <w:bCs/>
          <w:lang w:val="en-GB"/>
        </w:rPr>
      </w:pPr>
      <w:bookmarkStart w:id="35" w:name="_Hlk158044516"/>
      <w:r w:rsidRPr="00873BD3">
        <w:rPr>
          <w:rFonts w:eastAsia="Times New Roman" w:cstheme="minorHAnsi"/>
          <w:b/>
          <w:bCs/>
          <w:lang w:val="en-GB"/>
        </w:rPr>
        <w:t xml:space="preserve">DMTT Jurisdictional Top-up Tax </w:t>
      </w:r>
    </w:p>
    <w:bookmarkEnd w:id="35"/>
    <w:p w14:paraId="04D47692" w14:textId="77777777" w:rsidR="00672AD5" w:rsidRPr="00873BD3" w:rsidRDefault="00672AD5" w:rsidP="004409EA">
      <w:pPr>
        <w:pStyle w:val="MParagraph"/>
        <w:ind w:left="1276"/>
        <w:rPr>
          <w:rFonts w:eastAsia="Times New Roman" w:cstheme="minorHAnsi"/>
        </w:rPr>
      </w:pPr>
      <w:r w:rsidRPr="00873BD3">
        <w:rPr>
          <w:rFonts w:eastAsia="Times New Roman" w:cstheme="minorHAnsi"/>
        </w:rPr>
        <w:t xml:space="preserve">In general, Top-up Tax is computed for the </w:t>
      </w:r>
      <w:proofErr w:type="gramStart"/>
      <w:r w:rsidRPr="00873BD3">
        <w:rPr>
          <w:rFonts w:eastAsia="Times New Roman" w:cstheme="minorHAnsi"/>
        </w:rPr>
        <w:t>jurisdiction as a whole, but</w:t>
      </w:r>
      <w:proofErr w:type="gramEnd"/>
      <w:r w:rsidRPr="00873BD3">
        <w:rPr>
          <w:rFonts w:eastAsia="Times New Roman" w:cstheme="minorHAnsi"/>
        </w:rPr>
        <w:t xml:space="preserve"> excluding the income and taxes of Investment Entities, JVs, and Minority-Owned Constituent Entities. The ETR and Top-up Taxes of these various categories of Entities must be computed separately under a QDMTT to produce functionally equivalent outcomes to the </w:t>
      </w:r>
      <w:proofErr w:type="spellStart"/>
      <w:r w:rsidRPr="00873BD3">
        <w:rPr>
          <w:rFonts w:eastAsia="Times New Roman" w:cstheme="minorHAnsi"/>
        </w:rPr>
        <w:t>GloBE</w:t>
      </w:r>
      <w:proofErr w:type="spellEnd"/>
      <w:r w:rsidRPr="00873BD3">
        <w:rPr>
          <w:rFonts w:eastAsia="Times New Roman" w:cstheme="minorHAnsi"/>
        </w:rPr>
        <w:t xml:space="preserve"> Model Rules. As such, the DMTT Jurisdictional Top-Up Tax computations for Domestic Constituent Entities that are Minority-Owned Constituent Entities, Domestic Constituent Entities that are Investment Entities, Domestic JV Groups and other Domestic Constituent Entities shall be computed separately. </w:t>
      </w:r>
    </w:p>
    <w:p w14:paraId="4A90ECDD" w14:textId="77777777" w:rsidR="00672AD5" w:rsidRPr="00873BD3" w:rsidRDefault="00672AD5" w:rsidP="004409EA">
      <w:pPr>
        <w:pStyle w:val="MParagraph"/>
        <w:ind w:left="1276"/>
        <w:rPr>
          <w:rFonts w:eastAsia="Times New Roman" w:cstheme="minorHAnsi"/>
        </w:rPr>
      </w:pPr>
      <w:r w:rsidRPr="00873BD3">
        <w:rPr>
          <w:rFonts w:eastAsia="Times New Roman" w:cstheme="minorHAnsi"/>
        </w:rPr>
        <w:t xml:space="preserve">The DMTT Jurisdictional Top-up Tax for an Investment Entity shall be computed under Article 7.4 of the </w:t>
      </w:r>
      <w:proofErr w:type="spellStart"/>
      <w:r w:rsidRPr="00873BD3">
        <w:rPr>
          <w:rFonts w:eastAsia="Times New Roman" w:cstheme="minorHAnsi"/>
        </w:rPr>
        <w:t>GloBE</w:t>
      </w:r>
      <w:proofErr w:type="spellEnd"/>
      <w:r w:rsidRPr="00873BD3">
        <w:rPr>
          <w:rFonts w:eastAsia="Times New Roman" w:cstheme="minorHAnsi"/>
        </w:rPr>
        <w:t xml:space="preserve"> Model Rules (effective tax rate computation for investment entities), Article 7.5 of the </w:t>
      </w:r>
      <w:proofErr w:type="spellStart"/>
      <w:r w:rsidRPr="00873BD3">
        <w:rPr>
          <w:rFonts w:eastAsia="Times New Roman" w:cstheme="minorHAnsi"/>
        </w:rPr>
        <w:t>GloBE</w:t>
      </w:r>
      <w:proofErr w:type="spellEnd"/>
      <w:r w:rsidRPr="00873BD3">
        <w:rPr>
          <w:rFonts w:eastAsia="Times New Roman" w:cstheme="minorHAnsi"/>
        </w:rPr>
        <w:t xml:space="preserve"> Model Rules (investment entity tax transparency election) and Article 7.6 of the </w:t>
      </w:r>
      <w:proofErr w:type="spellStart"/>
      <w:r w:rsidRPr="00873BD3">
        <w:rPr>
          <w:rFonts w:eastAsia="Times New Roman" w:cstheme="minorHAnsi"/>
        </w:rPr>
        <w:t>GloBE</w:t>
      </w:r>
      <w:proofErr w:type="spellEnd"/>
      <w:r w:rsidRPr="00873BD3">
        <w:rPr>
          <w:rFonts w:eastAsia="Times New Roman" w:cstheme="minorHAnsi"/>
        </w:rPr>
        <w:t xml:space="preserve"> Model Rules (taxable distribution method election). Article 2.2.2 of the </w:t>
      </w:r>
      <w:proofErr w:type="spellStart"/>
      <w:r w:rsidRPr="00873BD3">
        <w:rPr>
          <w:rFonts w:eastAsia="Times New Roman" w:cstheme="minorHAnsi"/>
        </w:rPr>
        <w:t>GloBE</w:t>
      </w:r>
      <w:proofErr w:type="spellEnd"/>
      <w:r w:rsidRPr="00873BD3">
        <w:rPr>
          <w:rFonts w:eastAsia="Times New Roman" w:cstheme="minorHAnsi"/>
        </w:rPr>
        <w:t xml:space="preserve"> Model Rules that defines the Parent Entity’s Inclusion Ratio for the purposes of applying the IIR shall be applied to the extent necessary for this purpose. This is because the DMTT that applies to Investment Entities and Insurance Investment Entities must compute the ETR and Top-up Tax pursuant to Article 7.4 of the </w:t>
      </w:r>
      <w:proofErr w:type="spellStart"/>
      <w:r w:rsidRPr="00873BD3">
        <w:rPr>
          <w:rFonts w:eastAsia="Times New Roman" w:cstheme="minorHAnsi"/>
        </w:rPr>
        <w:t>GloBE</w:t>
      </w:r>
      <w:proofErr w:type="spellEnd"/>
      <w:r w:rsidRPr="00873BD3">
        <w:rPr>
          <w:rFonts w:eastAsia="Times New Roman" w:cstheme="minorHAnsi"/>
        </w:rPr>
        <w:t xml:space="preserve"> Model Rules in the same manner as the </w:t>
      </w:r>
      <w:proofErr w:type="spellStart"/>
      <w:r w:rsidRPr="00873BD3">
        <w:rPr>
          <w:rFonts w:eastAsia="Times New Roman" w:cstheme="minorHAnsi"/>
        </w:rPr>
        <w:t>GloBE</w:t>
      </w:r>
      <w:proofErr w:type="spellEnd"/>
      <w:r w:rsidRPr="00873BD3">
        <w:rPr>
          <w:rFonts w:eastAsia="Times New Roman" w:cstheme="minorHAnsi"/>
        </w:rPr>
        <w:t xml:space="preserve"> rules, except taxes that would be allocated to the Entity pursuant to Article 4.3.2(c) and (d) of the </w:t>
      </w:r>
      <w:proofErr w:type="spellStart"/>
      <w:r w:rsidRPr="00873BD3">
        <w:rPr>
          <w:rFonts w:eastAsia="Times New Roman" w:cstheme="minorHAnsi"/>
        </w:rPr>
        <w:lastRenderedPageBreak/>
        <w:t>GloBE</w:t>
      </w:r>
      <w:proofErr w:type="spellEnd"/>
      <w:r w:rsidRPr="00873BD3">
        <w:rPr>
          <w:rFonts w:eastAsia="Times New Roman" w:cstheme="minorHAnsi"/>
        </w:rPr>
        <w:t xml:space="preserve"> Model Rules are not taken into account in the ETR computation. However, the DMTT must also include all elections that are permitted under the </w:t>
      </w:r>
      <w:proofErr w:type="spellStart"/>
      <w:r w:rsidRPr="00873BD3">
        <w:rPr>
          <w:rFonts w:eastAsia="Times New Roman" w:cstheme="minorHAnsi"/>
        </w:rPr>
        <w:t>GloBE</w:t>
      </w:r>
      <w:proofErr w:type="spellEnd"/>
      <w:r w:rsidRPr="00873BD3">
        <w:rPr>
          <w:rFonts w:eastAsia="Times New Roman" w:cstheme="minorHAnsi"/>
        </w:rPr>
        <w:t xml:space="preserve"> Rules and require the MNE Group to make the same elections for both DMTT and </w:t>
      </w:r>
      <w:proofErr w:type="spellStart"/>
      <w:r w:rsidRPr="00873BD3">
        <w:rPr>
          <w:rFonts w:eastAsia="Times New Roman" w:cstheme="minorHAnsi"/>
        </w:rPr>
        <w:t>GloBE</w:t>
      </w:r>
      <w:proofErr w:type="spellEnd"/>
      <w:r w:rsidRPr="00873BD3">
        <w:rPr>
          <w:rFonts w:eastAsia="Times New Roman" w:cstheme="minorHAnsi"/>
        </w:rPr>
        <w:t xml:space="preserve"> purposes. To provide outcomes that are consistent with the </w:t>
      </w:r>
      <w:proofErr w:type="spellStart"/>
      <w:r w:rsidRPr="00873BD3">
        <w:rPr>
          <w:rFonts w:eastAsia="Times New Roman" w:cstheme="minorHAnsi"/>
        </w:rPr>
        <w:t>GloBE</w:t>
      </w:r>
      <w:proofErr w:type="spellEnd"/>
      <w:r w:rsidRPr="00873BD3">
        <w:rPr>
          <w:rFonts w:eastAsia="Times New Roman" w:cstheme="minorHAnsi"/>
        </w:rPr>
        <w:t xml:space="preserve"> Model Rules, the DMTT includes provisions </w:t>
      </w:r>
      <w:proofErr w:type="gramStart"/>
      <w:r w:rsidRPr="00873BD3">
        <w:rPr>
          <w:rFonts w:eastAsia="Times New Roman" w:cstheme="minorHAnsi"/>
        </w:rPr>
        <w:t>similar to</w:t>
      </w:r>
      <w:proofErr w:type="gramEnd"/>
      <w:r w:rsidRPr="00873BD3">
        <w:rPr>
          <w:rFonts w:eastAsia="Times New Roman" w:cstheme="minorHAnsi"/>
        </w:rPr>
        <w:t xml:space="preserve"> Articles 7.5 and 7.6 of the </w:t>
      </w:r>
      <w:proofErr w:type="spellStart"/>
      <w:r w:rsidRPr="00873BD3">
        <w:rPr>
          <w:rFonts w:eastAsia="Times New Roman" w:cstheme="minorHAnsi"/>
        </w:rPr>
        <w:t>GloBE</w:t>
      </w:r>
      <w:proofErr w:type="spellEnd"/>
      <w:r w:rsidRPr="00873BD3">
        <w:rPr>
          <w:rFonts w:eastAsia="Times New Roman" w:cstheme="minorHAnsi"/>
        </w:rPr>
        <w:t xml:space="preserve"> Model Rules. </w:t>
      </w:r>
    </w:p>
    <w:p w14:paraId="6C12BBDD" w14:textId="77777777" w:rsidR="00672AD5" w:rsidRPr="00873BD3" w:rsidRDefault="00672AD5" w:rsidP="004409EA">
      <w:pPr>
        <w:pStyle w:val="MParagraph"/>
        <w:ind w:left="1276"/>
        <w:rPr>
          <w:rFonts w:eastAsia="Times New Roman" w:cstheme="minorHAnsi"/>
        </w:rPr>
      </w:pPr>
      <w:r w:rsidRPr="00873BD3">
        <w:rPr>
          <w:rFonts w:eastAsia="Times New Roman" w:cstheme="minorHAnsi"/>
        </w:rPr>
        <w:t xml:space="preserve">In all other cases, the DMTT Jurisdictional Top-up Tax shall be computed using the following formula in lieu of the formula set out in Article 5.2.3 of the </w:t>
      </w:r>
      <w:proofErr w:type="spellStart"/>
      <w:r w:rsidRPr="00873BD3">
        <w:rPr>
          <w:rFonts w:eastAsia="Times New Roman" w:cstheme="minorHAnsi"/>
        </w:rPr>
        <w:t>GloBE</w:t>
      </w:r>
      <w:proofErr w:type="spellEnd"/>
      <w:r w:rsidRPr="00873BD3">
        <w:rPr>
          <w:rFonts w:eastAsia="Times New Roman" w:cstheme="minorHAnsi"/>
        </w:rPr>
        <w:t xml:space="preserve"> Model Rules that provides the formula for computing the Jurisdictional Top-Up Tax:</w:t>
      </w:r>
    </w:p>
    <w:p w14:paraId="25BDF969" w14:textId="77777777" w:rsidR="00672AD5" w:rsidRPr="00834F04" w:rsidRDefault="00672AD5" w:rsidP="004409EA">
      <w:pPr>
        <w:widowControl w:val="0"/>
        <w:tabs>
          <w:tab w:val="left" w:pos="-1440"/>
        </w:tabs>
        <w:autoSpaceDE w:val="0"/>
        <w:autoSpaceDN w:val="0"/>
        <w:adjustRightInd w:val="0"/>
        <w:spacing w:after="0" w:line="360" w:lineRule="auto"/>
        <w:ind w:left="1276"/>
        <w:jc w:val="both"/>
        <w:rPr>
          <w:rFonts w:eastAsia="Times New Roman" w:cstheme="minorHAnsi"/>
          <w:b/>
          <w:bCs/>
        </w:rPr>
      </w:pPr>
      <w:r w:rsidRPr="00834F04">
        <w:rPr>
          <w:rFonts w:eastAsia="Times New Roman" w:cstheme="minorHAnsi"/>
          <w:b/>
          <w:bCs/>
        </w:rPr>
        <w:t xml:space="preserve">Top-up Tax = (Top-up Tax Percentage </w:t>
      </w:r>
      <w:proofErr w:type="gramStart"/>
      <w:r w:rsidRPr="00834F04">
        <w:rPr>
          <w:rFonts w:eastAsia="Times New Roman" w:cstheme="minorHAnsi"/>
          <w:b/>
          <w:bCs/>
        </w:rPr>
        <w:t>x</w:t>
      </w:r>
      <w:proofErr w:type="gramEnd"/>
      <w:r w:rsidRPr="00834F04">
        <w:rPr>
          <w:rFonts w:eastAsia="Times New Roman" w:cstheme="minorHAnsi"/>
          <w:b/>
          <w:bCs/>
        </w:rPr>
        <w:t xml:space="preserve"> Excess Profits) + Additional Current Top-up Tax</w:t>
      </w:r>
    </w:p>
    <w:p w14:paraId="57917231" w14:textId="77777777" w:rsidR="00672AD5" w:rsidRPr="00873BD3" w:rsidRDefault="00672AD5" w:rsidP="004409EA">
      <w:pPr>
        <w:pStyle w:val="MParagraph"/>
        <w:ind w:left="1276"/>
        <w:rPr>
          <w:rFonts w:eastAsia="Times New Roman" w:cstheme="minorHAnsi"/>
        </w:rPr>
      </w:pPr>
      <w:r w:rsidRPr="00873BD3">
        <w:rPr>
          <w:rFonts w:eastAsia="Times New Roman" w:cstheme="minorHAnsi"/>
        </w:rPr>
        <w:t xml:space="preserve">The formula is different from the one set out in Article 5.2.3 of the </w:t>
      </w:r>
      <w:proofErr w:type="spellStart"/>
      <w:r w:rsidRPr="00873BD3">
        <w:rPr>
          <w:rFonts w:eastAsia="Times New Roman" w:cstheme="minorHAnsi"/>
        </w:rPr>
        <w:t>GloBE</w:t>
      </w:r>
      <w:proofErr w:type="spellEnd"/>
      <w:r w:rsidRPr="00873BD3">
        <w:rPr>
          <w:rFonts w:eastAsia="Times New Roman" w:cstheme="minorHAnsi"/>
        </w:rPr>
        <w:t xml:space="preserve"> Model Rules because the latter subtracts tax paid under a QDMTT from the current </w:t>
      </w:r>
      <w:proofErr w:type="spellStart"/>
      <w:r w:rsidRPr="00873BD3">
        <w:rPr>
          <w:rFonts w:eastAsia="Times New Roman" w:cstheme="minorHAnsi"/>
        </w:rPr>
        <w:t>GloBE</w:t>
      </w:r>
      <w:proofErr w:type="spellEnd"/>
      <w:r w:rsidRPr="00873BD3">
        <w:rPr>
          <w:rFonts w:eastAsia="Times New Roman" w:cstheme="minorHAnsi"/>
        </w:rPr>
        <w:t xml:space="preserve"> Top-up Tax. This formula needed to be modified for purposes of a DMTT to eliminate that subtraction, else the computation would be circular. </w:t>
      </w:r>
    </w:p>
    <w:p w14:paraId="20F57610" w14:textId="77777777" w:rsidR="00672AD5" w:rsidRPr="00873BD3" w:rsidRDefault="00672AD5" w:rsidP="004409EA">
      <w:pPr>
        <w:pStyle w:val="MH5"/>
      </w:pPr>
      <w:bookmarkStart w:id="36" w:name="_Toc178613737"/>
      <w:bookmarkStart w:id="37" w:name="_Toc178687653"/>
      <w:r w:rsidRPr="00873BD3">
        <w:t>Transitional rules in respect of transition year or later transition year</w:t>
      </w:r>
      <w:bookmarkEnd w:id="36"/>
      <w:bookmarkEnd w:id="37"/>
    </w:p>
    <w:p w14:paraId="03BF0A2D" w14:textId="77777777" w:rsidR="00672AD5" w:rsidRPr="00873BD3" w:rsidRDefault="00672AD5" w:rsidP="004409EA">
      <w:pPr>
        <w:pStyle w:val="MParagraph"/>
      </w:pPr>
      <w:bookmarkStart w:id="38" w:name="_Hlk158077606"/>
      <w:bookmarkStart w:id="39" w:name="_Hlk159360366"/>
      <w:r w:rsidRPr="00873BD3">
        <w:t>The transition year for the Republic shall be the earlier of the fiscal year that the multinational enterprise group first becomes subject to this Act, o</w:t>
      </w:r>
      <w:bookmarkEnd w:id="38"/>
      <w:r w:rsidRPr="00873BD3">
        <w:t>r the first fiscal year that Domestic Constituent Entities of the MNE Group become subject to a Qualified IIR in another jurisdiction.</w:t>
      </w:r>
    </w:p>
    <w:bookmarkEnd w:id="39"/>
    <w:p w14:paraId="52F619F7" w14:textId="77777777" w:rsidR="00672AD5" w:rsidRPr="00873BD3" w:rsidRDefault="00672AD5" w:rsidP="004409EA">
      <w:pPr>
        <w:pStyle w:val="MParagraph"/>
      </w:pPr>
      <w:r w:rsidRPr="00873BD3">
        <w:t>However, where one or more Domestic Constituent Entities become subject to a Qualified IIR or Qualified UTPR for a subsequent fiscal year in another jurisdiction, the transition year shall be revised to the fiscal year a Domestic Constituent Entity first became subject to a Qualified IIR and Qualified UTPR for those subsequent years.</w:t>
      </w:r>
    </w:p>
    <w:p w14:paraId="464F0CB8" w14:textId="77777777" w:rsidR="00672AD5" w:rsidRPr="00873BD3" w:rsidRDefault="00672AD5" w:rsidP="004409EA">
      <w:pPr>
        <w:pStyle w:val="MH5"/>
      </w:pPr>
      <w:bookmarkStart w:id="40" w:name="_Toc178613738"/>
      <w:bookmarkStart w:id="41" w:name="_Toc178687654"/>
      <w:r w:rsidRPr="00873BD3">
        <w:t>Imposition of top-up tax</w:t>
      </w:r>
      <w:bookmarkEnd w:id="40"/>
      <w:bookmarkEnd w:id="41"/>
      <w:r w:rsidRPr="00873BD3">
        <w:t xml:space="preserve"> </w:t>
      </w:r>
    </w:p>
    <w:p w14:paraId="61A7CF93" w14:textId="77777777" w:rsidR="00672AD5" w:rsidRPr="00873BD3" w:rsidRDefault="00672AD5" w:rsidP="004409EA">
      <w:pPr>
        <w:pStyle w:val="ListParagraph"/>
        <w:numPr>
          <w:ilvl w:val="0"/>
          <w:numId w:val="13"/>
        </w:numPr>
        <w:spacing w:before="200" w:line="259" w:lineRule="auto"/>
        <w:ind w:left="1276" w:hanging="283"/>
        <w:contextualSpacing w:val="0"/>
        <w:jc w:val="both"/>
        <w:rPr>
          <w:rFonts w:eastAsia="Times New Roman" w:cstheme="minorHAnsi"/>
          <w:b/>
          <w:bCs/>
          <w:lang w:val="en-GB"/>
        </w:rPr>
      </w:pPr>
      <w:bookmarkStart w:id="42" w:name="_Hlk178513880"/>
      <w:r w:rsidRPr="00873BD3">
        <w:rPr>
          <w:rFonts w:eastAsia="Times New Roman" w:cstheme="minorHAnsi"/>
          <w:b/>
          <w:bCs/>
          <w:lang w:val="en-GB"/>
        </w:rPr>
        <w:t>IIR ordering rules</w:t>
      </w:r>
      <w:bookmarkEnd w:id="42"/>
    </w:p>
    <w:p w14:paraId="7DD32758" w14:textId="77777777" w:rsidR="00672AD5" w:rsidRPr="00873BD3" w:rsidRDefault="00672AD5" w:rsidP="004409EA">
      <w:pPr>
        <w:pStyle w:val="MParagraph"/>
        <w:ind w:left="1276"/>
      </w:pPr>
      <w:bookmarkStart w:id="43" w:name="_Hlk178513923"/>
      <w:bookmarkStart w:id="44" w:name="_Hlk178612838"/>
      <w:bookmarkStart w:id="45" w:name="_Hlk178519663"/>
      <w:r w:rsidRPr="00873BD3">
        <w:t>The IIR charges the top-up tax determined for a low-taxed constituent entity (LTCE) to a parent entity of the LTCE within the same multinational group.</w:t>
      </w:r>
      <w:bookmarkEnd w:id="43"/>
      <w:r w:rsidRPr="00873BD3">
        <w:t>, The top-up tax it pays is calculated by multiplying the top-up tax amount for the LTCE by the parent's proportionate share of the LTCE's income.</w:t>
      </w:r>
    </w:p>
    <w:bookmarkEnd w:id="44"/>
    <w:p w14:paraId="28995F38" w14:textId="77777777" w:rsidR="00672AD5" w:rsidRPr="00873BD3" w:rsidRDefault="00672AD5" w:rsidP="00D107DB">
      <w:pPr>
        <w:pStyle w:val="ListParagraph"/>
        <w:keepNext/>
        <w:keepLines/>
        <w:numPr>
          <w:ilvl w:val="0"/>
          <w:numId w:val="13"/>
        </w:numPr>
        <w:spacing w:before="200" w:line="259" w:lineRule="auto"/>
        <w:ind w:left="1276" w:hanging="284"/>
        <w:contextualSpacing w:val="0"/>
        <w:jc w:val="both"/>
        <w:rPr>
          <w:rFonts w:eastAsia="Times New Roman" w:cstheme="minorHAnsi"/>
          <w:b/>
          <w:bCs/>
          <w:lang w:val="en-GB"/>
        </w:rPr>
      </w:pPr>
      <w:r w:rsidRPr="00873BD3">
        <w:rPr>
          <w:rFonts w:eastAsia="Times New Roman" w:cstheme="minorHAnsi"/>
          <w:b/>
          <w:bCs/>
          <w:lang w:val="en-GB"/>
        </w:rPr>
        <w:lastRenderedPageBreak/>
        <w:t>The top-down approach</w:t>
      </w:r>
      <w:bookmarkEnd w:id="45"/>
    </w:p>
    <w:p w14:paraId="1EE6B1C0" w14:textId="77777777" w:rsidR="00672AD5" w:rsidRPr="00873BD3" w:rsidRDefault="00672AD5" w:rsidP="004409EA">
      <w:pPr>
        <w:pStyle w:val="MParagraph"/>
        <w:ind w:left="1276"/>
        <w:rPr>
          <w:rFonts w:eastAsia="Times New Roman" w:cstheme="minorHAnsi"/>
        </w:rPr>
      </w:pPr>
      <w:r w:rsidRPr="00873BD3">
        <w:rPr>
          <w:rFonts w:eastAsia="Times New Roman" w:cstheme="minorHAnsi"/>
        </w:rPr>
        <w:t xml:space="preserve">In many MNE structures, multiple group entities may have an interest in the LTCE. The </w:t>
      </w:r>
      <w:proofErr w:type="spellStart"/>
      <w:r w:rsidRPr="00873BD3">
        <w:rPr>
          <w:rFonts w:eastAsia="Times New Roman" w:cstheme="minorHAnsi"/>
        </w:rPr>
        <w:t>GloBE</w:t>
      </w:r>
      <w:proofErr w:type="spellEnd"/>
      <w:r w:rsidRPr="00873BD3">
        <w:rPr>
          <w:rFonts w:eastAsia="Times New Roman" w:cstheme="minorHAnsi"/>
        </w:rPr>
        <w:t xml:space="preserve"> Rules determine which entities within the group should apply the IIR. If more than one entity applies the IIR to the same LTCE, adjustments are made to prevent over-taxation. These rules </w:t>
      </w:r>
      <w:r w:rsidRPr="004409EA">
        <w:t>include</w:t>
      </w:r>
      <w:r w:rsidRPr="00873BD3">
        <w:rPr>
          <w:rFonts w:eastAsia="Times New Roman" w:cstheme="minorHAnsi"/>
        </w:rPr>
        <w:t xml:space="preserve"> a priority order for applying the IIR, typically following a top-down approach. This means that the UPE jurisdiction generally has the </w:t>
      </w:r>
      <w:proofErr w:type="gramStart"/>
      <w:r w:rsidRPr="00873BD3">
        <w:rPr>
          <w:rFonts w:eastAsia="Times New Roman" w:cstheme="minorHAnsi"/>
        </w:rPr>
        <w:t>first priority</w:t>
      </w:r>
      <w:proofErr w:type="gramEnd"/>
      <w:r w:rsidRPr="00873BD3">
        <w:rPr>
          <w:rFonts w:eastAsia="Times New Roman" w:cstheme="minorHAnsi"/>
        </w:rPr>
        <w:t xml:space="preserve"> to impose the top-up tax on low-tax jurisdictions. </w:t>
      </w:r>
    </w:p>
    <w:p w14:paraId="133DD464" w14:textId="77777777" w:rsidR="00672AD5" w:rsidRPr="00873BD3" w:rsidRDefault="00672AD5" w:rsidP="004409EA">
      <w:pPr>
        <w:pStyle w:val="MParagraph"/>
        <w:ind w:left="1276"/>
        <w:rPr>
          <w:rFonts w:eastAsia="Times New Roman" w:cstheme="minorHAnsi"/>
        </w:rPr>
      </w:pPr>
      <w:r w:rsidRPr="00873BD3">
        <w:rPr>
          <w:rFonts w:eastAsia="Times New Roman" w:cstheme="minorHAnsi"/>
        </w:rPr>
        <w:t xml:space="preserve">If the UPE is not subject to a Qualified IIR, intermediate parent entities in other jurisdictions, held by the UPE, will apply the IIR to LTCEs in those jurisdictions based on their direct and indirect </w:t>
      </w:r>
      <w:r w:rsidRPr="004409EA">
        <w:t>interests</w:t>
      </w:r>
      <w:r w:rsidRPr="00873BD3">
        <w:rPr>
          <w:rFonts w:eastAsia="Times New Roman" w:cstheme="minorHAnsi"/>
        </w:rPr>
        <w:t xml:space="preserve">. Intermediate parent entities are those controlled by the UPE with an ownership interest in the LTCE, excluding investment entities. </w:t>
      </w:r>
    </w:p>
    <w:p w14:paraId="4609B84D" w14:textId="77777777" w:rsidR="00672AD5" w:rsidRPr="00964861" w:rsidRDefault="00672AD5" w:rsidP="004409EA">
      <w:pPr>
        <w:pStyle w:val="ListParagraph"/>
        <w:numPr>
          <w:ilvl w:val="0"/>
          <w:numId w:val="13"/>
        </w:numPr>
        <w:spacing w:before="200" w:line="259" w:lineRule="auto"/>
        <w:ind w:left="1276" w:hanging="283"/>
        <w:contextualSpacing w:val="0"/>
        <w:jc w:val="both"/>
        <w:rPr>
          <w:rFonts w:eastAsia="Times New Roman" w:cstheme="minorHAnsi"/>
          <w:b/>
          <w:bCs/>
          <w:lang w:val="en-GB"/>
        </w:rPr>
      </w:pPr>
      <w:r w:rsidRPr="00873BD3">
        <w:rPr>
          <w:rFonts w:eastAsia="Times New Roman" w:cstheme="minorHAnsi"/>
          <w:b/>
          <w:bCs/>
          <w:lang w:val="en-GB"/>
        </w:rPr>
        <w:t>Split ownership rules</w:t>
      </w:r>
    </w:p>
    <w:p w14:paraId="7DF02FBF" w14:textId="77777777" w:rsidR="00672AD5" w:rsidRPr="00873BD3" w:rsidRDefault="00672AD5" w:rsidP="004409EA">
      <w:pPr>
        <w:pStyle w:val="MParagraph"/>
        <w:ind w:left="1276"/>
        <w:rPr>
          <w:rFonts w:eastAsia="Times New Roman" w:cstheme="minorHAnsi"/>
        </w:rPr>
      </w:pPr>
      <w:bookmarkStart w:id="46" w:name="_Hlk178521675"/>
      <w:r w:rsidRPr="00873BD3">
        <w:rPr>
          <w:rFonts w:eastAsia="Times New Roman" w:cstheme="minorHAnsi"/>
        </w:rPr>
        <w:t xml:space="preserve">There is an exception from the top-down approach (referred to as the split ownership rules) when an intermediate parent entity is more than 20% owned, directly or indirectly, by minority </w:t>
      </w:r>
      <w:r w:rsidRPr="004409EA">
        <w:t>investors</w:t>
      </w:r>
      <w:r w:rsidRPr="00873BD3">
        <w:rPr>
          <w:rFonts w:eastAsia="Times New Roman" w:cstheme="minorHAnsi"/>
        </w:rPr>
        <w:t xml:space="preserve"> outside the MNE Group. These intermediate parent entities are called partially owned parent entities or POPEs. </w:t>
      </w:r>
    </w:p>
    <w:p w14:paraId="0264A10F" w14:textId="77777777" w:rsidR="00672AD5" w:rsidRPr="00873BD3" w:rsidRDefault="00672AD5" w:rsidP="004409EA">
      <w:pPr>
        <w:pStyle w:val="MParagraph"/>
        <w:ind w:left="1276"/>
        <w:rPr>
          <w:rFonts w:eastAsia="Times New Roman" w:cstheme="minorHAnsi"/>
        </w:rPr>
      </w:pPr>
      <w:r w:rsidRPr="00873BD3">
        <w:rPr>
          <w:rFonts w:eastAsia="Times New Roman" w:cstheme="minorHAnsi"/>
        </w:rPr>
        <w:t xml:space="preserve">POPEs have the priority to apply the IIR, even though the general approach is top-down. This is because, with significant minority interests, some of the top-up tax would not be collected if the IIR were applied by parent entities higher up in the ownership structure. The UPE then reduces the top-up tax it charges by the amount that has been charged to the POPE. </w:t>
      </w:r>
    </w:p>
    <w:p w14:paraId="69837ADD" w14:textId="77777777" w:rsidR="00672AD5" w:rsidRPr="00351818" w:rsidRDefault="00672AD5" w:rsidP="004409EA">
      <w:pPr>
        <w:widowControl w:val="0"/>
        <w:tabs>
          <w:tab w:val="left" w:pos="-1440"/>
          <w:tab w:val="left" w:pos="1276"/>
          <w:tab w:val="left" w:pos="2552"/>
        </w:tabs>
        <w:autoSpaceDE w:val="0"/>
        <w:autoSpaceDN w:val="0"/>
        <w:adjustRightInd w:val="0"/>
        <w:spacing w:before="240" w:after="120" w:line="360" w:lineRule="auto"/>
        <w:ind w:left="1276"/>
        <w:jc w:val="both"/>
        <w:rPr>
          <w:rFonts w:eastAsia="Times New Roman" w:cstheme="minorHAnsi"/>
          <w:b/>
          <w:bCs/>
        </w:rPr>
      </w:pPr>
      <w:r w:rsidRPr="00351818">
        <w:rPr>
          <w:rFonts w:eastAsia="Times New Roman" w:cstheme="minorHAnsi"/>
          <w:b/>
          <w:bCs/>
          <w:color w:val="C00000"/>
        </w:rPr>
        <w:t>EXAMPLE 1</w:t>
      </w:r>
      <w:r w:rsidRPr="004B3CEB">
        <w:rPr>
          <w:rFonts w:eastAsia="Times New Roman" w:cstheme="minorHAnsi"/>
          <w:b/>
          <w:bCs/>
          <w:color w:val="C00000"/>
        </w:rPr>
        <w:t xml:space="preserve">: </w:t>
      </w:r>
      <w:r w:rsidRPr="00351818">
        <w:rPr>
          <w:rFonts w:eastAsia="Times New Roman" w:cstheme="minorHAnsi"/>
          <w:b/>
          <w:bCs/>
        </w:rPr>
        <w:tab/>
        <w:t xml:space="preserve">POPES </w:t>
      </w:r>
      <w:bookmarkEnd w:id="46"/>
    </w:p>
    <w:p w14:paraId="740D55E3" w14:textId="77777777" w:rsidR="00672AD5" w:rsidRPr="00351818" w:rsidRDefault="00672AD5" w:rsidP="004409EA">
      <w:pPr>
        <w:pStyle w:val="MParagraph"/>
        <w:ind w:left="1276"/>
      </w:pPr>
      <w:bookmarkStart w:id="47" w:name="_Hlk178521825"/>
      <w:r w:rsidRPr="00873BD3">
        <w:rPr>
          <w:lang w:val="en-ZA"/>
        </w:rPr>
        <w:t>The top-up tax for an MNE’s LTCE is calculated to be $100.</w:t>
      </w:r>
      <w:bookmarkEnd w:id="47"/>
      <w:r w:rsidRPr="00873BD3">
        <w:rPr>
          <w:lang w:val="en-ZA"/>
        </w:rPr>
        <w:t xml:space="preserve"> The UPE indirectly owns the LTCE through ABC Company, </w:t>
      </w:r>
      <w:r w:rsidRPr="00351818">
        <w:t xml:space="preserve">with the UPE holding 60% of ABC Company, which in turn owns 100% of the LTCE. The UPE and ABC Company are both located in jurisdictions that have implemented a Qualified IIR. </w:t>
      </w:r>
    </w:p>
    <w:p w14:paraId="567EC947" w14:textId="77777777" w:rsidR="00672AD5" w:rsidRPr="00873BD3" w:rsidRDefault="00672AD5" w:rsidP="004409EA">
      <w:pPr>
        <w:pStyle w:val="MParagraph"/>
        <w:ind w:left="1276"/>
        <w:rPr>
          <w:lang w:val="en-ZA"/>
        </w:rPr>
      </w:pPr>
      <w:r w:rsidRPr="00351818">
        <w:t xml:space="preserve">According to the </w:t>
      </w:r>
      <w:proofErr w:type="spellStart"/>
      <w:r w:rsidRPr="00351818">
        <w:t>GloBE</w:t>
      </w:r>
      <w:proofErr w:type="spellEnd"/>
      <w:r w:rsidRPr="00351818">
        <w:t xml:space="preserve"> Rules, ABC Company, not the UPE, would apply the IIR and pay the $100 top-up tax. This allocation</w:t>
      </w:r>
      <w:r w:rsidRPr="00873BD3">
        <w:rPr>
          <w:lang w:val="en-ZA"/>
        </w:rPr>
        <w:t xml:space="preserve"> means that 60% of the top-up tax is effectively borne by the UPE, while 40% is </w:t>
      </w:r>
      <w:r w:rsidRPr="004409EA">
        <w:t>borne</w:t>
      </w:r>
      <w:r w:rsidRPr="00873BD3">
        <w:rPr>
          <w:lang w:val="en-ZA"/>
        </w:rPr>
        <w:t xml:space="preserve"> by the minority shareholders. If only the UPE applied the IIR, it would be charged $60 based on its share, leaving $40 uncollected under the IIR.</w:t>
      </w:r>
    </w:p>
    <w:p w14:paraId="58FC9A3C" w14:textId="77777777" w:rsidR="00672AD5" w:rsidRPr="00351818" w:rsidRDefault="00672AD5" w:rsidP="00F80CB8">
      <w:pPr>
        <w:keepNext/>
        <w:keepLines/>
        <w:widowControl w:val="0"/>
        <w:tabs>
          <w:tab w:val="left" w:pos="-1440"/>
          <w:tab w:val="left" w:pos="1276"/>
          <w:tab w:val="left" w:pos="2552"/>
        </w:tabs>
        <w:autoSpaceDE w:val="0"/>
        <w:autoSpaceDN w:val="0"/>
        <w:adjustRightInd w:val="0"/>
        <w:spacing w:before="240" w:after="120" w:line="360" w:lineRule="auto"/>
        <w:ind w:left="1276"/>
        <w:jc w:val="both"/>
        <w:rPr>
          <w:rFonts w:eastAsia="Times New Roman" w:cstheme="minorHAnsi"/>
          <w:b/>
          <w:bCs/>
          <w:color w:val="C00000"/>
        </w:rPr>
      </w:pPr>
      <w:r w:rsidRPr="00351818">
        <w:rPr>
          <w:rFonts w:eastAsia="Times New Roman" w:cstheme="minorHAnsi"/>
          <w:b/>
          <w:bCs/>
          <w:color w:val="C00000"/>
        </w:rPr>
        <w:lastRenderedPageBreak/>
        <w:t xml:space="preserve">EXAMPLE 2: </w:t>
      </w:r>
    </w:p>
    <w:p w14:paraId="6DB5C9C9" w14:textId="77777777" w:rsidR="00672AD5" w:rsidRPr="00351818" w:rsidRDefault="00672AD5" w:rsidP="004409EA">
      <w:pPr>
        <w:pStyle w:val="MParagraph"/>
        <w:ind w:left="1276"/>
        <w:rPr>
          <w:lang w:val="en-ZA"/>
        </w:rPr>
      </w:pPr>
      <w:r w:rsidRPr="00873BD3">
        <w:t xml:space="preserve">Ordering </w:t>
      </w:r>
      <w:r w:rsidRPr="00351818">
        <w:rPr>
          <w:lang w:val="en-ZA"/>
        </w:rPr>
        <w:t xml:space="preserve">rules for POPEs require a lower-tier POPE to switch off its IIR only if it is </w:t>
      </w:r>
      <w:proofErr w:type="gramStart"/>
      <w:r w:rsidRPr="00351818">
        <w:rPr>
          <w:lang w:val="en-ZA"/>
        </w:rPr>
        <w:t>wholly-owned</w:t>
      </w:r>
      <w:proofErr w:type="gramEnd"/>
      <w:r w:rsidRPr="00351818">
        <w:rPr>
          <w:lang w:val="en-ZA"/>
        </w:rPr>
        <w:t xml:space="preserve"> by a higher POPE which is subject to the IIR.</w:t>
      </w:r>
    </w:p>
    <w:p w14:paraId="2B9708A3" w14:textId="77777777" w:rsidR="00672AD5" w:rsidRPr="00873BD3" w:rsidRDefault="00672AD5" w:rsidP="004409EA">
      <w:pPr>
        <w:pStyle w:val="MParagraph"/>
        <w:ind w:left="1276"/>
        <w:rPr>
          <w:lang w:val="en-ZA"/>
        </w:rPr>
      </w:pPr>
      <w:bookmarkStart w:id="48" w:name="_Hlk178523130"/>
      <w:r w:rsidRPr="00873BD3">
        <w:rPr>
          <w:lang w:val="en-ZA"/>
        </w:rPr>
        <w:t xml:space="preserve">The top-up </w:t>
      </w:r>
      <w:r w:rsidRPr="004409EA">
        <w:t>tax</w:t>
      </w:r>
      <w:r w:rsidRPr="00873BD3">
        <w:rPr>
          <w:lang w:val="en-ZA"/>
        </w:rPr>
        <w:t xml:space="preserve"> for an MNE’s LTCE is calculated to be $100. The UPE indirectly owns the LTCE through a chain of POPEs.</w:t>
      </w:r>
      <w:bookmarkEnd w:id="48"/>
      <w:r w:rsidRPr="00873BD3">
        <w:rPr>
          <w:lang w:val="en-ZA"/>
        </w:rPr>
        <w:t xml:space="preserve"> The UPE directly owns 75 per cent of POPE A, with the remaining 25 per cent held by minority investors outside the MNE group. POPE A directly owns POPE B. POPE B directly owns 100 per cent of the LTCE. </w:t>
      </w:r>
    </w:p>
    <w:p w14:paraId="258FEFF1" w14:textId="58316A93" w:rsidR="004409EA" w:rsidRDefault="004409EA" w:rsidP="00F80CB8">
      <w:pPr>
        <w:pStyle w:val="MParagraph"/>
        <w:jc w:val="center"/>
      </w:pPr>
      <w:r>
        <w:rPr>
          <w:rFonts w:eastAsia="Times New Roman" w:cstheme="minorHAnsi"/>
          <w:noProof/>
        </w:rPr>
        <w:drawing>
          <wp:inline distT="0" distB="0" distL="0" distR="0" wp14:anchorId="7AD2664F" wp14:editId="2F189A8E">
            <wp:extent cx="3906982" cy="3906982"/>
            <wp:effectExtent l="19050" t="19050" r="17780" b="17780"/>
            <wp:docPr id="259425685" name="Picture 10" descr="A diagram of a company'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25685" name="Picture 10" descr="A diagram of a company's company&#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19200" cy="3919200"/>
                    </a:xfrm>
                    <a:prstGeom prst="rect">
                      <a:avLst/>
                    </a:prstGeom>
                    <a:ln w="19050">
                      <a:solidFill>
                        <a:schemeClr val="accent1"/>
                      </a:solidFill>
                    </a:ln>
                  </pic:spPr>
                </pic:pic>
              </a:graphicData>
            </a:graphic>
          </wp:inline>
        </w:drawing>
      </w:r>
    </w:p>
    <w:p w14:paraId="1C6ACCF7" w14:textId="77777777" w:rsidR="004409EA" w:rsidRPr="00873BD3" w:rsidRDefault="004409EA" w:rsidP="004409EA">
      <w:pPr>
        <w:pStyle w:val="MParagraph"/>
        <w:ind w:left="1276"/>
      </w:pPr>
      <w:r w:rsidRPr="00873BD3">
        <w:rPr>
          <w:lang w:val="en-ZA"/>
        </w:rPr>
        <w:t xml:space="preserve">If POPE B is 100 per cent owned by POPE A, POPE A would apply the IIR and be charged $100 of top-up tax. POPE B would not be required to apply the IIR. If POPE A owns 90 per cent of POPE B, with remaining 10 per cent owned by outside investors, both POPEs would apply the IIR. POPE B would be charged $100 of top-up tax. POPE A would also apply the </w:t>
      </w:r>
      <w:proofErr w:type="gramStart"/>
      <w:r w:rsidRPr="00873BD3">
        <w:rPr>
          <w:lang w:val="en-ZA"/>
        </w:rPr>
        <w:t>IIR</w:t>
      </w:r>
      <w:proofErr w:type="gramEnd"/>
      <w:r w:rsidRPr="00873BD3">
        <w:rPr>
          <w:lang w:val="en-ZA"/>
        </w:rPr>
        <w:t xml:space="preserve"> but its top-up tax liability will be reduced to zero by the amount of tax charged to POPE B. </w:t>
      </w:r>
    </w:p>
    <w:p w14:paraId="4C1C8840" w14:textId="77777777" w:rsidR="004409EA" w:rsidRPr="00133FE8" w:rsidRDefault="004409EA" w:rsidP="004409EA">
      <w:pPr>
        <w:pStyle w:val="MH4"/>
      </w:pPr>
      <w:bookmarkStart w:id="49" w:name="_Toc178613739"/>
      <w:bookmarkStart w:id="50" w:name="_Toc178687655"/>
      <w:bookmarkStart w:id="51" w:name="_Hlk159360292"/>
      <w:r w:rsidRPr="00133FE8">
        <w:lastRenderedPageBreak/>
        <w:t>EFFECTIVE DATE</w:t>
      </w:r>
      <w:bookmarkEnd w:id="49"/>
      <w:bookmarkEnd w:id="50"/>
    </w:p>
    <w:bookmarkEnd w:id="51"/>
    <w:p w14:paraId="7DA3D005" w14:textId="77777777" w:rsidR="004409EA" w:rsidRDefault="004409EA" w:rsidP="004409EA">
      <w:pPr>
        <w:pStyle w:val="MParagraph"/>
      </w:pPr>
      <w:r w:rsidRPr="00873BD3">
        <w:t xml:space="preserve">This Act is deemed to have come into operation on 1 January 2024 and applies to fiscal years beginning on or after that date. </w:t>
      </w:r>
    </w:p>
    <w:p w14:paraId="107048AE" w14:textId="0771341A" w:rsidR="004409EA" w:rsidRPr="00133FE8" w:rsidRDefault="004409EA" w:rsidP="004409EA">
      <w:pPr>
        <w:pStyle w:val="MH4"/>
      </w:pPr>
      <w:bookmarkStart w:id="52" w:name="_Toc157428996"/>
      <w:bookmarkStart w:id="53" w:name="_Toc178613740"/>
      <w:bookmarkStart w:id="54" w:name="_Toc178687656"/>
      <w:r w:rsidRPr="00133FE8">
        <w:t>CLAUSE BY CL</w:t>
      </w:r>
      <w:r w:rsidR="008A1AAD">
        <w:t>A</w:t>
      </w:r>
      <w:r w:rsidRPr="00133FE8">
        <w:t>USE</w:t>
      </w:r>
      <w:bookmarkEnd w:id="52"/>
      <w:bookmarkEnd w:id="53"/>
      <w:bookmarkEnd w:id="54"/>
      <w:r w:rsidRPr="00133FE8">
        <w:t xml:space="preserve"> </w:t>
      </w:r>
    </w:p>
    <w:p w14:paraId="3EA0EE3D" w14:textId="77777777" w:rsidR="004409EA" w:rsidRPr="00873BD3" w:rsidRDefault="004409EA" w:rsidP="004409EA">
      <w:pPr>
        <w:spacing w:before="300" w:after="240" w:line="240" w:lineRule="auto"/>
        <w:ind w:left="851"/>
        <w:rPr>
          <w:rFonts w:eastAsia="Times New Roman" w:cstheme="minorHAnsi"/>
          <w:b/>
          <w:bCs/>
          <w:sz w:val="26"/>
          <w:szCs w:val="26"/>
        </w:rPr>
      </w:pPr>
      <w:bookmarkStart w:id="55" w:name="_Hlk178534640"/>
      <w:r w:rsidRPr="00873BD3">
        <w:rPr>
          <w:rFonts w:eastAsia="Times New Roman" w:cstheme="minorHAnsi"/>
          <w:b/>
          <w:bCs/>
          <w:sz w:val="26"/>
          <w:szCs w:val="26"/>
        </w:rPr>
        <w:t>CLAUSE 1</w:t>
      </w:r>
    </w:p>
    <w:p w14:paraId="3EE06863" w14:textId="77777777" w:rsidR="004409EA" w:rsidRPr="001514B8" w:rsidRDefault="004409EA" w:rsidP="004409EA">
      <w:pPr>
        <w:ind w:left="851"/>
        <w:rPr>
          <w:rFonts w:eastAsia="Times New Roman" w:cstheme="minorHAnsi"/>
          <w:b/>
          <w:bCs/>
        </w:rPr>
      </w:pPr>
      <w:bookmarkStart w:id="56" w:name="_Hlk178534605"/>
      <w:bookmarkEnd w:id="55"/>
      <w:r w:rsidRPr="001514B8">
        <w:rPr>
          <w:rFonts w:eastAsia="Times New Roman" w:cstheme="minorHAnsi"/>
          <w:b/>
          <w:bCs/>
        </w:rPr>
        <w:t xml:space="preserve">Global Minimum Tax: Section 1 </w:t>
      </w:r>
    </w:p>
    <w:p w14:paraId="421169B8" w14:textId="77777777" w:rsidR="004409EA" w:rsidRPr="00873BD3" w:rsidRDefault="004409EA" w:rsidP="004409EA">
      <w:pPr>
        <w:pStyle w:val="MParagraph"/>
        <w:rPr>
          <w:lang w:val="en-ZA"/>
        </w:rPr>
      </w:pPr>
      <w:bookmarkStart w:id="57" w:name="_Hlk178535714"/>
      <w:bookmarkEnd w:id="56"/>
      <w:r w:rsidRPr="001514B8">
        <w:t>Clause</w:t>
      </w:r>
      <w:r w:rsidRPr="00873BD3">
        <w:rPr>
          <w:lang w:val="en-ZA"/>
        </w:rPr>
        <w:t xml:space="preserve"> (1)</w:t>
      </w:r>
      <w:r w:rsidRPr="00873BD3">
        <w:rPr>
          <w:i/>
          <w:iCs/>
          <w:lang w:val="en-ZA"/>
        </w:rPr>
        <w:t xml:space="preserve">: </w:t>
      </w:r>
      <w:r w:rsidRPr="00873BD3">
        <w:rPr>
          <w:lang w:val="en-ZA"/>
        </w:rPr>
        <w:t>This clause introduces definitions that are applicable for purposes of this Act.</w:t>
      </w:r>
    </w:p>
    <w:bookmarkEnd w:id="57"/>
    <w:p w14:paraId="311183D3" w14:textId="77777777" w:rsidR="004409EA" w:rsidRPr="00873BD3" w:rsidRDefault="004409EA" w:rsidP="004409EA">
      <w:pPr>
        <w:spacing w:before="300" w:after="240" w:line="240" w:lineRule="auto"/>
        <w:ind w:left="851"/>
        <w:rPr>
          <w:rFonts w:eastAsia="Times New Roman" w:cstheme="minorHAnsi"/>
          <w:b/>
          <w:bCs/>
          <w:sz w:val="26"/>
          <w:szCs w:val="26"/>
        </w:rPr>
      </w:pPr>
      <w:r w:rsidRPr="00873BD3">
        <w:rPr>
          <w:rFonts w:eastAsia="Times New Roman" w:cstheme="minorHAnsi"/>
          <w:b/>
          <w:bCs/>
          <w:sz w:val="26"/>
          <w:szCs w:val="26"/>
        </w:rPr>
        <w:t xml:space="preserve">CLAUSES 2 AND 3 </w:t>
      </w:r>
    </w:p>
    <w:p w14:paraId="07FAF02D" w14:textId="77777777" w:rsidR="004409EA" w:rsidRPr="001514B8" w:rsidRDefault="004409EA" w:rsidP="004409EA">
      <w:pPr>
        <w:ind w:left="851"/>
        <w:rPr>
          <w:rFonts w:eastAsia="Times New Roman" w:cstheme="minorHAnsi"/>
          <w:b/>
          <w:bCs/>
          <w:szCs w:val="24"/>
          <w:lang w:val="en-ZA"/>
        </w:rPr>
      </w:pPr>
      <w:r w:rsidRPr="001514B8">
        <w:rPr>
          <w:rFonts w:eastAsia="Times New Roman" w:cstheme="minorHAnsi"/>
          <w:b/>
          <w:bCs/>
          <w:szCs w:val="24"/>
          <w:lang w:val="en-ZA"/>
        </w:rPr>
        <w:t>Global Minimum Tax: Sections 2 and 3</w:t>
      </w:r>
    </w:p>
    <w:p w14:paraId="40DC9C81" w14:textId="77777777" w:rsidR="004409EA" w:rsidRPr="00873BD3" w:rsidRDefault="004409EA" w:rsidP="004409EA">
      <w:pPr>
        <w:pStyle w:val="MParagraph"/>
      </w:pPr>
      <w:r w:rsidRPr="00873BD3">
        <w:rPr>
          <w:lang w:val="en-ZA"/>
        </w:rPr>
        <w:t>Clauses (2) and (3</w:t>
      </w:r>
      <w:proofErr w:type="gramStart"/>
      <w:r w:rsidRPr="00873BD3">
        <w:rPr>
          <w:lang w:val="en-ZA"/>
        </w:rPr>
        <w:t>) :</w:t>
      </w:r>
      <w:proofErr w:type="gramEnd"/>
      <w:r w:rsidRPr="00873BD3">
        <w:rPr>
          <w:lang w:val="en-ZA"/>
        </w:rPr>
        <w:t xml:space="preserve"> These clauses </w:t>
      </w:r>
      <w:r w:rsidRPr="00873BD3">
        <w:t xml:space="preserve">incorporates the detailed provisions in the </w:t>
      </w:r>
      <w:proofErr w:type="spellStart"/>
      <w:r w:rsidRPr="00873BD3">
        <w:t>GloBE</w:t>
      </w:r>
      <w:proofErr w:type="spellEnd"/>
      <w:r w:rsidRPr="00873BD3">
        <w:t xml:space="preserve"> Model Rules and Commentary through reference. In terms of the GMT Bill, the </w:t>
      </w:r>
      <w:proofErr w:type="spellStart"/>
      <w:r w:rsidRPr="00873BD3">
        <w:t>GloBE</w:t>
      </w:r>
      <w:proofErr w:type="spellEnd"/>
      <w:r w:rsidRPr="00873BD3">
        <w:t xml:space="preserve"> Model Rules must be applied and interpreted consistently with the most recent </w:t>
      </w:r>
      <w:proofErr w:type="spellStart"/>
      <w:r w:rsidRPr="00873BD3">
        <w:t>GloBE</w:t>
      </w:r>
      <w:proofErr w:type="spellEnd"/>
      <w:r w:rsidRPr="00873BD3">
        <w:t xml:space="preserve"> Commentary and Administrative Guidance to the </w:t>
      </w:r>
      <w:proofErr w:type="spellStart"/>
      <w:r w:rsidRPr="00873BD3">
        <w:t>GloBE</w:t>
      </w:r>
      <w:proofErr w:type="spellEnd"/>
      <w:r w:rsidRPr="00873BD3">
        <w:t xml:space="preserve"> Model Rules as they read before the start of each Fiscal Year. </w:t>
      </w:r>
    </w:p>
    <w:p w14:paraId="6A6CD681" w14:textId="77777777" w:rsidR="004409EA" w:rsidRPr="00873BD3" w:rsidRDefault="004409EA" w:rsidP="004409EA">
      <w:pPr>
        <w:spacing w:before="300" w:after="240" w:line="240" w:lineRule="auto"/>
        <w:ind w:left="851"/>
        <w:rPr>
          <w:rFonts w:eastAsia="Times New Roman" w:cstheme="minorHAnsi"/>
          <w:b/>
          <w:bCs/>
          <w:sz w:val="26"/>
          <w:szCs w:val="26"/>
        </w:rPr>
      </w:pPr>
      <w:bookmarkStart w:id="58" w:name="_Hlk178536048"/>
      <w:r w:rsidRPr="00873BD3">
        <w:rPr>
          <w:rFonts w:eastAsia="Times New Roman" w:cstheme="minorHAnsi"/>
          <w:b/>
          <w:bCs/>
          <w:sz w:val="26"/>
          <w:szCs w:val="26"/>
        </w:rPr>
        <w:t>CLAUSE 4</w:t>
      </w:r>
    </w:p>
    <w:p w14:paraId="6C6E044D" w14:textId="77777777" w:rsidR="004409EA" w:rsidRPr="001514B8" w:rsidRDefault="004409EA" w:rsidP="004409EA">
      <w:pPr>
        <w:ind w:left="851"/>
        <w:rPr>
          <w:rFonts w:eastAsia="Times New Roman" w:cstheme="minorHAnsi"/>
          <w:b/>
          <w:bCs/>
          <w:szCs w:val="24"/>
          <w:lang w:val="en-ZA"/>
        </w:rPr>
      </w:pPr>
      <w:bookmarkStart w:id="59" w:name="_Hlk178536103"/>
      <w:bookmarkEnd w:id="58"/>
      <w:r w:rsidRPr="001514B8">
        <w:rPr>
          <w:rFonts w:eastAsia="Times New Roman" w:cstheme="minorHAnsi"/>
          <w:b/>
          <w:bCs/>
          <w:szCs w:val="24"/>
          <w:lang w:val="en-ZA"/>
        </w:rPr>
        <w:t xml:space="preserve">Global Minimum Tax: Section 4 </w:t>
      </w:r>
    </w:p>
    <w:p w14:paraId="53A7FE53" w14:textId="77777777" w:rsidR="004409EA" w:rsidRPr="00873BD3" w:rsidRDefault="004409EA" w:rsidP="004409EA">
      <w:pPr>
        <w:pStyle w:val="MParagraph"/>
        <w:rPr>
          <w:lang w:val="en-ZA"/>
        </w:rPr>
      </w:pPr>
      <w:r w:rsidRPr="00873BD3">
        <w:rPr>
          <w:lang w:val="en-ZA"/>
        </w:rPr>
        <w:t>Clause (4)</w:t>
      </w:r>
      <w:r w:rsidRPr="001514B8">
        <w:rPr>
          <w:lang w:val="en-ZA"/>
        </w:rPr>
        <w:t xml:space="preserve">: </w:t>
      </w:r>
      <w:r w:rsidRPr="00873BD3">
        <w:rPr>
          <w:lang w:val="en-ZA"/>
        </w:rPr>
        <w:t xml:space="preserve">This clause introduces </w:t>
      </w:r>
      <w:r w:rsidRPr="00873BD3">
        <w:t xml:space="preserve">the charging provisions for the Income IIR under Chapter 2 of the </w:t>
      </w:r>
      <w:proofErr w:type="spellStart"/>
      <w:r w:rsidRPr="00873BD3">
        <w:t>GloBE</w:t>
      </w:r>
      <w:proofErr w:type="spellEnd"/>
      <w:r w:rsidRPr="00873BD3">
        <w:t xml:space="preserve"> Model Rules</w:t>
      </w:r>
      <w:r w:rsidRPr="00873BD3">
        <w:rPr>
          <w:lang w:val="en-ZA"/>
        </w:rPr>
        <w:t xml:space="preserve">. </w:t>
      </w:r>
    </w:p>
    <w:p w14:paraId="6ED495D5" w14:textId="77777777" w:rsidR="004409EA" w:rsidRPr="00873BD3" w:rsidRDefault="004409EA" w:rsidP="004409EA">
      <w:pPr>
        <w:spacing w:before="300" w:after="240" w:line="240" w:lineRule="auto"/>
        <w:ind w:left="851"/>
        <w:rPr>
          <w:rFonts w:eastAsia="Times New Roman" w:cstheme="minorHAnsi"/>
          <w:b/>
          <w:bCs/>
          <w:sz w:val="26"/>
          <w:szCs w:val="26"/>
        </w:rPr>
      </w:pPr>
      <w:bookmarkStart w:id="60" w:name="_Hlk178536766"/>
      <w:bookmarkEnd w:id="59"/>
      <w:r w:rsidRPr="00873BD3">
        <w:rPr>
          <w:rFonts w:eastAsia="Times New Roman" w:cstheme="minorHAnsi"/>
          <w:b/>
          <w:bCs/>
          <w:sz w:val="26"/>
          <w:szCs w:val="26"/>
        </w:rPr>
        <w:t>CLAUSE 5</w:t>
      </w:r>
    </w:p>
    <w:p w14:paraId="6C850ADB" w14:textId="77777777" w:rsidR="004409EA" w:rsidRPr="001514B8" w:rsidRDefault="004409EA" w:rsidP="004409EA">
      <w:pPr>
        <w:ind w:left="851"/>
        <w:rPr>
          <w:rFonts w:eastAsia="Times New Roman" w:cstheme="minorHAnsi"/>
          <w:b/>
          <w:bCs/>
          <w:szCs w:val="24"/>
        </w:rPr>
      </w:pPr>
      <w:bookmarkStart w:id="61" w:name="_Hlk178536776"/>
      <w:bookmarkEnd w:id="60"/>
      <w:r w:rsidRPr="001514B8">
        <w:rPr>
          <w:rFonts w:eastAsia="Times New Roman" w:cstheme="minorHAnsi"/>
          <w:b/>
          <w:bCs/>
          <w:szCs w:val="24"/>
          <w:lang w:val="en-ZA"/>
        </w:rPr>
        <w:t xml:space="preserve">Global Minimum Tax: </w:t>
      </w:r>
      <w:r w:rsidRPr="001514B8">
        <w:rPr>
          <w:rFonts w:eastAsia="Times New Roman" w:cstheme="minorHAnsi"/>
          <w:b/>
          <w:bCs/>
          <w:szCs w:val="24"/>
        </w:rPr>
        <w:t>Section 5</w:t>
      </w:r>
    </w:p>
    <w:p w14:paraId="46FE64C6" w14:textId="77777777" w:rsidR="004409EA" w:rsidRPr="00873BD3" w:rsidRDefault="004409EA" w:rsidP="004409EA">
      <w:pPr>
        <w:pStyle w:val="MParagraph"/>
        <w:rPr>
          <w:lang w:val="en-ZA"/>
        </w:rPr>
      </w:pPr>
      <w:r w:rsidRPr="001514B8">
        <w:t>Clause (5): This clause</w:t>
      </w:r>
      <w:r w:rsidRPr="00873BD3">
        <w:rPr>
          <w:lang w:val="en-ZA"/>
        </w:rPr>
        <w:t xml:space="preserve"> </w:t>
      </w:r>
      <w:r w:rsidRPr="00873BD3">
        <w:t xml:space="preserve">disapplies the charging provisions for the UTPR from IIR.  </w:t>
      </w:r>
      <w:r w:rsidRPr="00873BD3">
        <w:rPr>
          <w:lang w:val="en-ZA"/>
        </w:rPr>
        <w:t xml:space="preserve"> </w:t>
      </w:r>
    </w:p>
    <w:p w14:paraId="286CEB74" w14:textId="77777777" w:rsidR="004409EA" w:rsidRPr="00873BD3" w:rsidRDefault="004409EA" w:rsidP="004409EA">
      <w:pPr>
        <w:spacing w:before="300" w:after="240" w:line="240" w:lineRule="auto"/>
        <w:ind w:left="851"/>
        <w:rPr>
          <w:rFonts w:eastAsia="Times New Roman" w:cstheme="minorHAnsi"/>
          <w:b/>
          <w:bCs/>
          <w:sz w:val="26"/>
          <w:szCs w:val="26"/>
        </w:rPr>
      </w:pPr>
      <w:bookmarkStart w:id="62" w:name="_Hlk178537162"/>
      <w:bookmarkEnd w:id="61"/>
      <w:r w:rsidRPr="00873BD3">
        <w:rPr>
          <w:rFonts w:eastAsia="Times New Roman" w:cstheme="minorHAnsi"/>
          <w:b/>
          <w:bCs/>
          <w:sz w:val="26"/>
          <w:szCs w:val="26"/>
        </w:rPr>
        <w:t>CLAUSE 6</w:t>
      </w:r>
    </w:p>
    <w:p w14:paraId="75918DB7" w14:textId="77777777" w:rsidR="004409EA" w:rsidRPr="00EB4251" w:rsidRDefault="004409EA" w:rsidP="004409EA">
      <w:pPr>
        <w:ind w:left="851"/>
        <w:rPr>
          <w:rFonts w:eastAsia="Times New Roman" w:cstheme="minorHAnsi"/>
          <w:b/>
          <w:bCs/>
          <w:szCs w:val="24"/>
          <w:lang w:val="en-ZA"/>
        </w:rPr>
      </w:pPr>
      <w:bookmarkStart w:id="63" w:name="_Hlk178537177"/>
      <w:bookmarkEnd w:id="62"/>
      <w:r w:rsidRPr="00EB4251">
        <w:rPr>
          <w:rFonts w:eastAsia="Times New Roman" w:cstheme="minorHAnsi"/>
          <w:b/>
          <w:bCs/>
          <w:szCs w:val="24"/>
          <w:lang w:val="en-ZA"/>
        </w:rPr>
        <w:t xml:space="preserve">Global Minimum </w:t>
      </w:r>
      <w:r w:rsidRPr="00EB4251">
        <w:rPr>
          <w:rFonts w:eastAsia="Times New Roman" w:cstheme="minorHAnsi"/>
          <w:b/>
          <w:bCs/>
          <w:szCs w:val="24"/>
        </w:rPr>
        <w:t>Tax</w:t>
      </w:r>
      <w:r w:rsidRPr="00EB4251">
        <w:rPr>
          <w:rFonts w:eastAsia="Times New Roman" w:cstheme="minorHAnsi"/>
          <w:b/>
          <w:bCs/>
          <w:szCs w:val="24"/>
          <w:lang w:val="en-ZA"/>
        </w:rPr>
        <w:t>: Section 6</w:t>
      </w:r>
    </w:p>
    <w:p w14:paraId="6BF697BE" w14:textId="77777777" w:rsidR="004409EA" w:rsidRPr="00873BD3" w:rsidRDefault="004409EA" w:rsidP="004409EA">
      <w:pPr>
        <w:pStyle w:val="MParagraph"/>
        <w:rPr>
          <w:lang w:val="en-ZA"/>
        </w:rPr>
      </w:pPr>
      <w:r w:rsidRPr="00873BD3">
        <w:rPr>
          <w:lang w:val="en-ZA"/>
        </w:rPr>
        <w:t>Clause (6)</w:t>
      </w:r>
      <w:r w:rsidRPr="00873BD3">
        <w:rPr>
          <w:i/>
          <w:iCs/>
          <w:lang w:val="en-ZA"/>
        </w:rPr>
        <w:t xml:space="preserve">: </w:t>
      </w:r>
      <w:r w:rsidRPr="00873BD3">
        <w:rPr>
          <w:lang w:val="en-ZA"/>
        </w:rPr>
        <w:t>This clause provides that e</w:t>
      </w:r>
      <w:r w:rsidRPr="00873BD3">
        <w:t xml:space="preserve">ach Domestic Constituent Entity is jointly and severally liable to pay a Domestic Minimum Top-up Tax.  </w:t>
      </w:r>
      <w:r w:rsidRPr="00873BD3">
        <w:rPr>
          <w:lang w:val="en-ZA"/>
        </w:rPr>
        <w:t xml:space="preserve"> </w:t>
      </w:r>
    </w:p>
    <w:p w14:paraId="6E285460" w14:textId="77777777" w:rsidR="004409EA" w:rsidRPr="00873BD3" w:rsidRDefault="004409EA" w:rsidP="004409EA">
      <w:pPr>
        <w:spacing w:before="300" w:after="240" w:line="240" w:lineRule="auto"/>
        <w:ind w:left="851"/>
        <w:rPr>
          <w:rFonts w:eastAsia="Times New Roman" w:cstheme="minorHAnsi"/>
          <w:b/>
          <w:bCs/>
          <w:sz w:val="26"/>
          <w:szCs w:val="26"/>
        </w:rPr>
      </w:pPr>
      <w:bookmarkStart w:id="64" w:name="_Hlk178537200"/>
      <w:bookmarkEnd w:id="63"/>
      <w:r w:rsidRPr="00873BD3">
        <w:rPr>
          <w:rFonts w:eastAsia="Times New Roman" w:cstheme="minorHAnsi"/>
          <w:b/>
          <w:bCs/>
          <w:sz w:val="26"/>
          <w:szCs w:val="26"/>
        </w:rPr>
        <w:lastRenderedPageBreak/>
        <w:t>CLAUSE 7</w:t>
      </w:r>
    </w:p>
    <w:p w14:paraId="1C39C690" w14:textId="77777777" w:rsidR="004409EA" w:rsidRPr="000204AC" w:rsidRDefault="004409EA" w:rsidP="004409EA">
      <w:pPr>
        <w:ind w:left="851"/>
        <w:rPr>
          <w:rFonts w:eastAsia="Times New Roman" w:cstheme="minorHAnsi"/>
          <w:b/>
          <w:bCs/>
          <w:szCs w:val="24"/>
          <w:lang w:val="en-ZA"/>
        </w:rPr>
      </w:pPr>
      <w:bookmarkStart w:id="65" w:name="_Hlk178537215"/>
      <w:bookmarkEnd w:id="64"/>
      <w:r w:rsidRPr="000204AC">
        <w:rPr>
          <w:rFonts w:eastAsia="Times New Roman" w:cstheme="minorHAnsi"/>
          <w:b/>
          <w:bCs/>
          <w:szCs w:val="24"/>
          <w:lang w:val="en-ZA"/>
        </w:rPr>
        <w:t>Global Minimum Tax: Section 7</w:t>
      </w:r>
    </w:p>
    <w:p w14:paraId="6F833423" w14:textId="77777777" w:rsidR="004409EA" w:rsidRPr="00873BD3" w:rsidRDefault="004409EA" w:rsidP="004409EA">
      <w:pPr>
        <w:pStyle w:val="MParagraph"/>
        <w:rPr>
          <w:lang w:val="en-ZA"/>
        </w:rPr>
      </w:pPr>
      <w:r w:rsidRPr="00873BD3">
        <w:rPr>
          <w:lang w:val="en-ZA"/>
        </w:rPr>
        <w:t>Clause (7)</w:t>
      </w:r>
      <w:r w:rsidRPr="000204AC">
        <w:rPr>
          <w:lang w:val="en-ZA"/>
        </w:rPr>
        <w:t xml:space="preserve">: </w:t>
      </w:r>
      <w:r w:rsidRPr="00873BD3">
        <w:rPr>
          <w:lang w:val="en-ZA"/>
        </w:rPr>
        <w:t xml:space="preserve">This clause provides that </w:t>
      </w:r>
      <w:bookmarkEnd w:id="65"/>
      <w:r w:rsidRPr="000204AC">
        <w:rPr>
          <w:lang w:val="en-ZA"/>
        </w:rPr>
        <w:t>each Domestic Joint Venture and Domestic Joint Venture Subsidiary of a Domestic Joint Venture</w:t>
      </w:r>
      <w:r w:rsidRPr="00873BD3">
        <w:t xml:space="preserve"> Group is jointly and severally liable to pay a Domestic Minimum Top-up Tax. </w:t>
      </w:r>
    </w:p>
    <w:p w14:paraId="17741AE7" w14:textId="77777777" w:rsidR="004409EA" w:rsidRPr="00873BD3" w:rsidRDefault="004409EA" w:rsidP="004409EA">
      <w:pPr>
        <w:keepNext/>
        <w:keepLines/>
        <w:spacing w:before="300" w:after="240" w:line="240" w:lineRule="auto"/>
        <w:ind w:left="851"/>
        <w:jc w:val="both"/>
        <w:rPr>
          <w:rFonts w:eastAsia="Times New Roman" w:cstheme="minorHAnsi"/>
          <w:b/>
          <w:bCs/>
          <w:sz w:val="26"/>
          <w:szCs w:val="26"/>
        </w:rPr>
      </w:pPr>
      <w:bookmarkStart w:id="66" w:name="_Hlk178537267"/>
      <w:r w:rsidRPr="00873BD3">
        <w:rPr>
          <w:rFonts w:eastAsia="Times New Roman" w:cstheme="minorHAnsi"/>
          <w:b/>
          <w:bCs/>
          <w:sz w:val="26"/>
          <w:szCs w:val="26"/>
        </w:rPr>
        <w:t>CLAUSE 8</w:t>
      </w:r>
    </w:p>
    <w:p w14:paraId="5C38D0E1" w14:textId="77777777" w:rsidR="004409EA" w:rsidRPr="000204AC" w:rsidRDefault="004409EA" w:rsidP="004409EA">
      <w:pPr>
        <w:keepNext/>
        <w:keepLines/>
        <w:ind w:left="851"/>
        <w:jc w:val="both"/>
        <w:rPr>
          <w:rFonts w:eastAsia="Times New Roman" w:cstheme="minorHAnsi"/>
          <w:b/>
          <w:bCs/>
          <w:szCs w:val="24"/>
          <w:lang w:val="en-ZA"/>
        </w:rPr>
      </w:pPr>
      <w:bookmarkStart w:id="67" w:name="_Hlk178537282"/>
      <w:bookmarkEnd w:id="66"/>
      <w:r w:rsidRPr="000204AC">
        <w:rPr>
          <w:rFonts w:eastAsia="Times New Roman" w:cstheme="minorHAnsi"/>
          <w:b/>
          <w:bCs/>
          <w:szCs w:val="24"/>
          <w:lang w:val="en-ZA"/>
        </w:rPr>
        <w:t>Global Minimum Tax: Section 8</w:t>
      </w:r>
    </w:p>
    <w:p w14:paraId="0AB23417" w14:textId="77777777" w:rsidR="004409EA" w:rsidRPr="00873BD3" w:rsidRDefault="004409EA" w:rsidP="004409EA">
      <w:pPr>
        <w:pStyle w:val="MParagraph"/>
        <w:rPr>
          <w:lang w:val="en-ZA"/>
        </w:rPr>
      </w:pPr>
      <w:r w:rsidRPr="00873BD3">
        <w:rPr>
          <w:lang w:val="en-ZA"/>
        </w:rPr>
        <w:t>Clause (8)</w:t>
      </w:r>
      <w:r w:rsidRPr="00873BD3">
        <w:rPr>
          <w:i/>
          <w:iCs/>
          <w:lang w:val="en-ZA"/>
        </w:rPr>
        <w:t xml:space="preserve">: </w:t>
      </w:r>
      <w:r w:rsidRPr="00873BD3">
        <w:rPr>
          <w:lang w:val="en-ZA"/>
        </w:rPr>
        <w:t>This clause provides for the calculation of the Domestic Minimum Top-up Tax</w:t>
      </w:r>
      <w:r w:rsidRPr="00873BD3">
        <w:t xml:space="preserve"> under section 9 – 19.</w:t>
      </w:r>
      <w:r w:rsidRPr="00873BD3">
        <w:rPr>
          <w:lang w:val="en-ZA"/>
        </w:rPr>
        <w:t xml:space="preserve"> </w:t>
      </w:r>
    </w:p>
    <w:p w14:paraId="15D75913"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68" w:name="_Hlk178537299"/>
      <w:bookmarkEnd w:id="67"/>
      <w:r w:rsidRPr="00873BD3">
        <w:rPr>
          <w:rFonts w:eastAsia="Times New Roman" w:cstheme="minorHAnsi"/>
          <w:b/>
          <w:bCs/>
          <w:sz w:val="26"/>
          <w:szCs w:val="26"/>
        </w:rPr>
        <w:t>CLAUSE 9</w:t>
      </w:r>
    </w:p>
    <w:p w14:paraId="0180E594" w14:textId="77777777" w:rsidR="004409EA" w:rsidRPr="000204AC" w:rsidRDefault="004409EA" w:rsidP="004409EA">
      <w:pPr>
        <w:ind w:left="851"/>
        <w:jc w:val="both"/>
        <w:rPr>
          <w:rFonts w:eastAsia="Times New Roman" w:cstheme="minorHAnsi"/>
          <w:b/>
          <w:bCs/>
          <w:szCs w:val="24"/>
        </w:rPr>
      </w:pPr>
      <w:bookmarkStart w:id="69" w:name="_Hlk178537309"/>
      <w:bookmarkEnd w:id="68"/>
      <w:r w:rsidRPr="000204AC">
        <w:rPr>
          <w:rFonts w:eastAsia="Times New Roman" w:cstheme="minorHAnsi"/>
          <w:b/>
          <w:bCs/>
          <w:szCs w:val="24"/>
          <w:lang w:val="en-ZA"/>
        </w:rPr>
        <w:t xml:space="preserve">Global </w:t>
      </w:r>
      <w:r w:rsidRPr="000204AC">
        <w:rPr>
          <w:rFonts w:eastAsia="Times New Roman" w:cstheme="minorHAnsi"/>
          <w:b/>
          <w:bCs/>
          <w:szCs w:val="24"/>
        </w:rPr>
        <w:t>Minimum Tax: Section 9</w:t>
      </w:r>
    </w:p>
    <w:p w14:paraId="48F410AB" w14:textId="77777777" w:rsidR="004409EA" w:rsidRPr="00873BD3" w:rsidRDefault="004409EA" w:rsidP="004A1AA5">
      <w:pPr>
        <w:pStyle w:val="MParagraph"/>
        <w:rPr>
          <w:lang w:val="en-ZA"/>
        </w:rPr>
      </w:pPr>
      <w:r w:rsidRPr="000204AC">
        <w:t>Clause (9): This</w:t>
      </w:r>
      <w:r w:rsidRPr="00873BD3">
        <w:rPr>
          <w:lang w:val="en-ZA"/>
        </w:rPr>
        <w:t xml:space="preserve"> clause Provides for the Articles that do not apply in the Domestic Minimum Tax rules. </w:t>
      </w:r>
    </w:p>
    <w:p w14:paraId="563048E9"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70" w:name="_Hlk178537342"/>
      <w:bookmarkEnd w:id="69"/>
      <w:r w:rsidRPr="00873BD3">
        <w:rPr>
          <w:rFonts w:eastAsia="Times New Roman" w:cstheme="minorHAnsi"/>
          <w:b/>
          <w:bCs/>
          <w:sz w:val="26"/>
          <w:szCs w:val="26"/>
        </w:rPr>
        <w:t>CLAUSE 10</w:t>
      </w:r>
    </w:p>
    <w:p w14:paraId="156A0151" w14:textId="77777777" w:rsidR="004409EA" w:rsidRPr="000204AC" w:rsidRDefault="004409EA" w:rsidP="004409EA">
      <w:pPr>
        <w:ind w:left="851"/>
        <w:jc w:val="both"/>
        <w:rPr>
          <w:rFonts w:eastAsia="Times New Roman" w:cstheme="minorHAnsi"/>
          <w:b/>
          <w:bCs/>
          <w:szCs w:val="24"/>
        </w:rPr>
      </w:pPr>
      <w:bookmarkStart w:id="71" w:name="_Hlk178537358"/>
      <w:bookmarkEnd w:id="70"/>
      <w:r w:rsidRPr="000204AC">
        <w:rPr>
          <w:rFonts w:eastAsia="Times New Roman" w:cstheme="minorHAnsi"/>
          <w:b/>
          <w:bCs/>
          <w:szCs w:val="24"/>
          <w:lang w:val="en-ZA"/>
        </w:rPr>
        <w:t xml:space="preserve">Global Minimum </w:t>
      </w:r>
      <w:r w:rsidRPr="000204AC">
        <w:rPr>
          <w:rFonts w:eastAsia="Times New Roman" w:cstheme="minorHAnsi"/>
          <w:b/>
          <w:bCs/>
          <w:szCs w:val="24"/>
        </w:rPr>
        <w:t>Tax: Section 10</w:t>
      </w:r>
    </w:p>
    <w:p w14:paraId="1EC13EC5" w14:textId="77777777" w:rsidR="004409EA" w:rsidRPr="00873BD3" w:rsidRDefault="004409EA" w:rsidP="004A1AA5">
      <w:pPr>
        <w:pStyle w:val="MParagraph"/>
        <w:rPr>
          <w:lang w:val="en-ZA"/>
        </w:rPr>
      </w:pPr>
      <w:r w:rsidRPr="000204AC">
        <w:t>Clause (10): This</w:t>
      </w:r>
      <w:r w:rsidRPr="00873BD3">
        <w:rPr>
          <w:lang w:val="en-ZA"/>
        </w:rPr>
        <w:t xml:space="preserve"> clause provides that the </w:t>
      </w:r>
      <w:r w:rsidRPr="00873BD3">
        <w:t>definition of a QDMTT in Article 10.1 is not applied. This is due to the QDMTT Commentary outlining various methods a jurisdiction could use to design its Domestic Minimum Top-up Tax. As a result, incorporating the QDMTT Commentary would create ambiguity about which method should be applied.</w:t>
      </w:r>
      <w:r w:rsidRPr="00873BD3">
        <w:rPr>
          <w:lang w:val="en-ZA"/>
        </w:rPr>
        <w:t xml:space="preserve"> </w:t>
      </w:r>
      <w:bookmarkEnd w:id="71"/>
    </w:p>
    <w:p w14:paraId="7691C3D6"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72" w:name="_Hlk178537378"/>
      <w:r w:rsidRPr="00873BD3">
        <w:rPr>
          <w:rFonts w:eastAsia="Times New Roman" w:cstheme="minorHAnsi"/>
          <w:b/>
          <w:bCs/>
          <w:sz w:val="26"/>
          <w:szCs w:val="26"/>
        </w:rPr>
        <w:t>CLAUSE 11</w:t>
      </w:r>
    </w:p>
    <w:p w14:paraId="5112D264" w14:textId="77777777" w:rsidR="004409EA" w:rsidRPr="000204AC" w:rsidRDefault="004409EA" w:rsidP="004409EA">
      <w:pPr>
        <w:ind w:left="851"/>
        <w:jc w:val="both"/>
        <w:rPr>
          <w:rFonts w:eastAsia="Times New Roman" w:cstheme="minorHAnsi"/>
          <w:b/>
          <w:bCs/>
          <w:szCs w:val="24"/>
        </w:rPr>
      </w:pPr>
      <w:bookmarkStart w:id="73" w:name="_Hlk178537396"/>
      <w:bookmarkEnd w:id="72"/>
      <w:r w:rsidRPr="000204AC">
        <w:rPr>
          <w:rFonts w:eastAsia="Times New Roman" w:cstheme="minorHAnsi"/>
          <w:b/>
          <w:bCs/>
          <w:szCs w:val="24"/>
          <w:lang w:val="en-ZA"/>
        </w:rPr>
        <w:t xml:space="preserve">Global Minimum Tax: </w:t>
      </w:r>
      <w:r w:rsidRPr="000204AC">
        <w:rPr>
          <w:rFonts w:eastAsia="Times New Roman" w:cstheme="minorHAnsi"/>
          <w:b/>
          <w:bCs/>
          <w:szCs w:val="24"/>
        </w:rPr>
        <w:t>Section 11</w:t>
      </w:r>
    </w:p>
    <w:p w14:paraId="5A1E24A9" w14:textId="77777777" w:rsidR="004409EA" w:rsidRPr="00873BD3" w:rsidRDefault="004409EA" w:rsidP="004A1AA5">
      <w:pPr>
        <w:pStyle w:val="MParagraph"/>
        <w:rPr>
          <w:lang w:val="en-ZA"/>
        </w:rPr>
      </w:pPr>
      <w:r w:rsidRPr="000204AC">
        <w:t xml:space="preserve">Clause (11): This clause </w:t>
      </w:r>
      <w:r w:rsidRPr="00873BD3">
        <w:t xml:space="preserve">provides for inapplicable safe </w:t>
      </w:r>
      <w:proofErr w:type="spellStart"/>
      <w:r w:rsidRPr="00873BD3">
        <w:t>harbours</w:t>
      </w:r>
      <w:proofErr w:type="spellEnd"/>
      <w:r w:rsidRPr="00873BD3">
        <w:t xml:space="preserve">. The QDMTT Safe </w:t>
      </w:r>
      <w:proofErr w:type="spellStart"/>
      <w:r w:rsidRPr="00873BD3">
        <w:t>Harbour</w:t>
      </w:r>
      <w:proofErr w:type="spellEnd"/>
      <w:r w:rsidRPr="00873BD3">
        <w:t xml:space="preserve"> is disapplied because this safe </w:t>
      </w:r>
      <w:proofErr w:type="spellStart"/>
      <w:r w:rsidRPr="00873BD3">
        <w:t>harbour</w:t>
      </w:r>
      <w:proofErr w:type="spellEnd"/>
      <w:r w:rsidRPr="00873BD3">
        <w:t xml:space="preserve"> only affects the application of the IIR and UTPR. </w:t>
      </w:r>
      <w:r w:rsidRPr="00873BD3">
        <w:rPr>
          <w:lang w:val="en-ZA"/>
        </w:rPr>
        <w:t xml:space="preserve"> </w:t>
      </w:r>
    </w:p>
    <w:p w14:paraId="51715B88" w14:textId="77777777" w:rsidR="004409EA" w:rsidRPr="00873BD3" w:rsidRDefault="004409EA" w:rsidP="00F80CB8">
      <w:pPr>
        <w:keepNext/>
        <w:keepLines/>
        <w:spacing w:before="300" w:after="240" w:line="240" w:lineRule="auto"/>
        <w:ind w:left="851"/>
        <w:rPr>
          <w:rFonts w:eastAsia="Times New Roman" w:cstheme="minorHAnsi"/>
          <w:b/>
          <w:bCs/>
          <w:sz w:val="26"/>
          <w:szCs w:val="26"/>
        </w:rPr>
      </w:pPr>
      <w:bookmarkStart w:id="74" w:name="_Hlk178537414"/>
      <w:bookmarkEnd w:id="73"/>
      <w:r w:rsidRPr="00873BD3">
        <w:rPr>
          <w:rFonts w:eastAsia="Times New Roman" w:cstheme="minorHAnsi"/>
          <w:b/>
          <w:bCs/>
          <w:sz w:val="26"/>
          <w:szCs w:val="26"/>
        </w:rPr>
        <w:lastRenderedPageBreak/>
        <w:t>CLAUSE 12</w:t>
      </w:r>
    </w:p>
    <w:p w14:paraId="04D15F14" w14:textId="77777777" w:rsidR="004409EA" w:rsidRPr="00597D2C" w:rsidRDefault="004409EA" w:rsidP="00F80CB8">
      <w:pPr>
        <w:keepNext/>
        <w:keepLines/>
        <w:ind w:left="851"/>
        <w:rPr>
          <w:rFonts w:eastAsia="Times New Roman" w:cstheme="minorHAnsi"/>
          <w:b/>
          <w:bCs/>
          <w:szCs w:val="24"/>
        </w:rPr>
      </w:pPr>
      <w:bookmarkStart w:id="75" w:name="_Hlk178537429"/>
      <w:bookmarkEnd w:id="74"/>
      <w:r w:rsidRPr="00597D2C">
        <w:rPr>
          <w:rFonts w:eastAsia="Times New Roman" w:cstheme="minorHAnsi"/>
          <w:b/>
          <w:bCs/>
          <w:szCs w:val="24"/>
          <w:lang w:val="en-ZA"/>
        </w:rPr>
        <w:t xml:space="preserve">Global </w:t>
      </w:r>
      <w:r w:rsidRPr="00597D2C">
        <w:rPr>
          <w:rFonts w:eastAsia="Times New Roman" w:cstheme="minorHAnsi"/>
          <w:b/>
          <w:bCs/>
          <w:szCs w:val="24"/>
        </w:rPr>
        <w:t>Minimum Tax: Section 12</w:t>
      </w:r>
    </w:p>
    <w:p w14:paraId="6F39409A" w14:textId="77777777" w:rsidR="004409EA" w:rsidRPr="00873BD3" w:rsidRDefault="004409EA" w:rsidP="004A1AA5">
      <w:pPr>
        <w:pStyle w:val="MParagraph"/>
        <w:rPr>
          <w:lang w:val="en-ZA"/>
        </w:rPr>
      </w:pPr>
      <w:r w:rsidRPr="00597D2C">
        <w:t>Clause (12): Th</w:t>
      </w:r>
      <w:r w:rsidRPr="00873BD3">
        <w:rPr>
          <w:lang w:val="en-ZA"/>
        </w:rPr>
        <w:t xml:space="preserve">is clause provides for the exclusion of certain foreign taxes on domestic income. </w:t>
      </w:r>
      <w:r w:rsidRPr="00873BD3">
        <w:t xml:space="preserve">  </w:t>
      </w:r>
      <w:r w:rsidRPr="00873BD3">
        <w:rPr>
          <w:lang w:val="en-ZA"/>
        </w:rPr>
        <w:t xml:space="preserve"> </w:t>
      </w:r>
    </w:p>
    <w:p w14:paraId="027058F2"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76" w:name="_Hlk178537452"/>
      <w:bookmarkEnd w:id="75"/>
      <w:r w:rsidRPr="00873BD3">
        <w:rPr>
          <w:rFonts w:eastAsia="Times New Roman" w:cstheme="minorHAnsi"/>
          <w:b/>
          <w:bCs/>
          <w:sz w:val="26"/>
          <w:szCs w:val="26"/>
        </w:rPr>
        <w:t>CLAUSE 13</w:t>
      </w:r>
    </w:p>
    <w:p w14:paraId="2B10FF47" w14:textId="77777777" w:rsidR="004409EA" w:rsidRPr="00597D2C" w:rsidRDefault="004409EA" w:rsidP="004409EA">
      <w:pPr>
        <w:ind w:left="851"/>
        <w:jc w:val="both"/>
        <w:rPr>
          <w:rFonts w:eastAsia="Times New Roman" w:cstheme="minorHAnsi"/>
          <w:b/>
          <w:bCs/>
          <w:szCs w:val="24"/>
          <w:lang w:val="en-ZA"/>
        </w:rPr>
      </w:pPr>
      <w:bookmarkStart w:id="77" w:name="_Hlk178537462"/>
      <w:bookmarkEnd w:id="76"/>
      <w:r w:rsidRPr="00597D2C">
        <w:rPr>
          <w:rFonts w:eastAsia="Times New Roman" w:cstheme="minorHAnsi"/>
          <w:b/>
          <w:bCs/>
          <w:szCs w:val="24"/>
          <w:lang w:val="en-ZA"/>
        </w:rPr>
        <w:t>Global Minimum Tax: Section 13</w:t>
      </w:r>
    </w:p>
    <w:p w14:paraId="461E0596" w14:textId="77777777" w:rsidR="004409EA" w:rsidRPr="00873BD3" w:rsidRDefault="004409EA" w:rsidP="004A1AA5">
      <w:pPr>
        <w:pStyle w:val="MParagraph"/>
        <w:rPr>
          <w:lang w:val="en-ZA"/>
        </w:rPr>
      </w:pPr>
      <w:r w:rsidRPr="00873BD3">
        <w:rPr>
          <w:lang w:val="en-ZA"/>
        </w:rPr>
        <w:t>Clause (13)</w:t>
      </w:r>
      <w:r w:rsidRPr="00597D2C">
        <w:rPr>
          <w:lang w:val="en-ZA"/>
        </w:rPr>
        <w:t xml:space="preserve">: </w:t>
      </w:r>
      <w:r w:rsidRPr="00873BD3">
        <w:rPr>
          <w:lang w:val="en-ZA"/>
        </w:rPr>
        <w:t xml:space="preserve">This clause </w:t>
      </w:r>
      <w:r w:rsidRPr="00873BD3">
        <w:t xml:space="preserve">provides for the exclusion of domestic taxes on certain foreign income. </w:t>
      </w:r>
    </w:p>
    <w:p w14:paraId="08C91E37"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78" w:name="_Hlk178537482"/>
      <w:bookmarkEnd w:id="77"/>
      <w:r w:rsidRPr="00873BD3">
        <w:rPr>
          <w:rFonts w:eastAsia="Times New Roman" w:cstheme="minorHAnsi"/>
          <w:b/>
          <w:bCs/>
          <w:sz w:val="26"/>
          <w:szCs w:val="26"/>
        </w:rPr>
        <w:t>CLAUSE 14</w:t>
      </w:r>
    </w:p>
    <w:p w14:paraId="2698EBD7" w14:textId="77777777" w:rsidR="004409EA" w:rsidRPr="00597D2C" w:rsidRDefault="004409EA" w:rsidP="004409EA">
      <w:pPr>
        <w:ind w:left="851"/>
        <w:jc w:val="both"/>
        <w:rPr>
          <w:rFonts w:eastAsia="Times New Roman" w:cstheme="minorHAnsi"/>
          <w:b/>
          <w:bCs/>
          <w:szCs w:val="24"/>
          <w:lang w:val="en-ZA"/>
        </w:rPr>
      </w:pPr>
      <w:bookmarkStart w:id="79" w:name="_Hlk178537494"/>
      <w:bookmarkEnd w:id="78"/>
      <w:r w:rsidRPr="00597D2C">
        <w:rPr>
          <w:rFonts w:eastAsia="Times New Roman" w:cstheme="minorHAnsi"/>
          <w:b/>
          <w:bCs/>
          <w:szCs w:val="24"/>
          <w:lang w:val="en-ZA"/>
        </w:rPr>
        <w:t>Global Minimum Tax: Section 14</w:t>
      </w:r>
    </w:p>
    <w:p w14:paraId="539C5200" w14:textId="77777777" w:rsidR="004409EA" w:rsidRPr="00873BD3" w:rsidRDefault="004409EA" w:rsidP="004A1AA5">
      <w:pPr>
        <w:pStyle w:val="MParagraph"/>
        <w:rPr>
          <w:lang w:val="en-ZA"/>
        </w:rPr>
      </w:pPr>
      <w:r w:rsidRPr="00873BD3">
        <w:rPr>
          <w:lang w:val="en-ZA"/>
        </w:rPr>
        <w:t>Clause (14)</w:t>
      </w:r>
      <w:r w:rsidRPr="00597D2C">
        <w:rPr>
          <w:lang w:val="en-ZA"/>
        </w:rPr>
        <w:t xml:space="preserve">: </w:t>
      </w:r>
      <w:r w:rsidRPr="00873BD3">
        <w:rPr>
          <w:lang w:val="en-ZA"/>
        </w:rPr>
        <w:t>This clause provides for t</w:t>
      </w:r>
      <w:r w:rsidRPr="00873BD3">
        <w:t xml:space="preserve">he Top-Up Tax calculation of Domestic Constituent Entities of the MNE Group.   </w:t>
      </w:r>
      <w:r w:rsidRPr="00873BD3">
        <w:rPr>
          <w:lang w:val="en-ZA"/>
        </w:rPr>
        <w:t xml:space="preserve"> </w:t>
      </w:r>
      <w:bookmarkEnd w:id="79"/>
    </w:p>
    <w:p w14:paraId="2F029B00"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80" w:name="_Hlk178537526"/>
      <w:r w:rsidRPr="00873BD3">
        <w:rPr>
          <w:rFonts w:eastAsia="Times New Roman" w:cstheme="minorHAnsi"/>
          <w:b/>
          <w:bCs/>
          <w:sz w:val="26"/>
          <w:szCs w:val="26"/>
        </w:rPr>
        <w:t>CLAUSE 15</w:t>
      </w:r>
    </w:p>
    <w:p w14:paraId="1201100A" w14:textId="77777777" w:rsidR="004409EA" w:rsidRPr="00502ECE" w:rsidRDefault="004409EA" w:rsidP="004409EA">
      <w:pPr>
        <w:ind w:left="851"/>
        <w:jc w:val="both"/>
        <w:rPr>
          <w:rFonts w:eastAsia="Times New Roman" w:cstheme="minorHAnsi"/>
          <w:b/>
          <w:bCs/>
          <w:szCs w:val="24"/>
        </w:rPr>
      </w:pPr>
      <w:bookmarkStart w:id="81" w:name="_Hlk178537539"/>
      <w:bookmarkEnd w:id="80"/>
      <w:r w:rsidRPr="00502ECE">
        <w:rPr>
          <w:rFonts w:eastAsia="Times New Roman" w:cstheme="minorHAnsi"/>
          <w:b/>
          <w:bCs/>
          <w:szCs w:val="24"/>
          <w:lang w:val="en-ZA"/>
        </w:rPr>
        <w:t xml:space="preserve">Global Minimum </w:t>
      </w:r>
      <w:r w:rsidRPr="00502ECE">
        <w:rPr>
          <w:rFonts w:eastAsia="Times New Roman" w:cstheme="minorHAnsi"/>
          <w:b/>
          <w:bCs/>
          <w:szCs w:val="24"/>
        </w:rPr>
        <w:t>Tax: Section 15</w:t>
      </w:r>
    </w:p>
    <w:p w14:paraId="4DD11C95" w14:textId="77777777" w:rsidR="004409EA" w:rsidRPr="00873BD3" w:rsidRDefault="004409EA" w:rsidP="004A1AA5">
      <w:pPr>
        <w:pStyle w:val="MParagraph"/>
        <w:rPr>
          <w:lang w:val="en-ZA"/>
        </w:rPr>
      </w:pPr>
      <w:r w:rsidRPr="00502ECE">
        <w:t xml:space="preserve">Clause (15): This </w:t>
      </w:r>
      <w:proofErr w:type="spellStart"/>
      <w:r w:rsidRPr="00502ECE">
        <w:t>cla</w:t>
      </w:r>
      <w:proofErr w:type="spellEnd"/>
      <w:r w:rsidRPr="00873BD3">
        <w:rPr>
          <w:lang w:val="en-ZA"/>
        </w:rPr>
        <w:t xml:space="preserve">use provides for the </w:t>
      </w:r>
      <w:r w:rsidRPr="00873BD3">
        <w:rPr>
          <w:rFonts w:eastAsia="Arial"/>
        </w:rPr>
        <w:t>Top-up Tax calculation of a Domestic JV Group.</w:t>
      </w:r>
      <w:r w:rsidRPr="00873BD3">
        <w:rPr>
          <w:lang w:val="en-ZA"/>
        </w:rPr>
        <w:t xml:space="preserve"> </w:t>
      </w:r>
      <w:r w:rsidRPr="00873BD3">
        <w:t xml:space="preserve">  </w:t>
      </w:r>
      <w:r w:rsidRPr="00873BD3">
        <w:rPr>
          <w:lang w:val="en-ZA"/>
        </w:rPr>
        <w:t xml:space="preserve"> </w:t>
      </w:r>
    </w:p>
    <w:p w14:paraId="6A426EDF"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82" w:name="_Hlk178537560"/>
      <w:bookmarkEnd w:id="81"/>
      <w:r w:rsidRPr="00873BD3">
        <w:rPr>
          <w:rFonts w:eastAsia="Times New Roman" w:cstheme="minorHAnsi"/>
          <w:b/>
          <w:bCs/>
          <w:sz w:val="26"/>
          <w:szCs w:val="26"/>
        </w:rPr>
        <w:t>CLAUSE 16</w:t>
      </w:r>
    </w:p>
    <w:p w14:paraId="11A44CB0" w14:textId="77777777" w:rsidR="004409EA" w:rsidRPr="00502ECE" w:rsidRDefault="004409EA" w:rsidP="004409EA">
      <w:pPr>
        <w:ind w:left="851"/>
        <w:jc w:val="both"/>
        <w:rPr>
          <w:rFonts w:eastAsia="Times New Roman" w:cstheme="minorHAnsi"/>
          <w:b/>
          <w:bCs/>
          <w:szCs w:val="24"/>
          <w:lang w:val="en-ZA"/>
        </w:rPr>
      </w:pPr>
      <w:bookmarkStart w:id="83" w:name="_Hlk178537576"/>
      <w:bookmarkEnd w:id="82"/>
      <w:r w:rsidRPr="00502ECE">
        <w:rPr>
          <w:rFonts w:eastAsia="Times New Roman" w:cstheme="minorHAnsi"/>
          <w:b/>
          <w:bCs/>
          <w:szCs w:val="24"/>
          <w:lang w:val="en-ZA"/>
        </w:rPr>
        <w:t>Global Minimum Tax: Section 16</w:t>
      </w:r>
    </w:p>
    <w:p w14:paraId="671EB016" w14:textId="77777777" w:rsidR="004409EA" w:rsidRPr="00873BD3" w:rsidRDefault="004409EA" w:rsidP="004A1AA5">
      <w:pPr>
        <w:pStyle w:val="MParagraph"/>
        <w:rPr>
          <w:lang w:val="en-ZA"/>
        </w:rPr>
      </w:pPr>
      <w:r w:rsidRPr="00873BD3">
        <w:rPr>
          <w:lang w:val="en-ZA"/>
        </w:rPr>
        <w:t>Clause (16)</w:t>
      </w:r>
      <w:r w:rsidRPr="00502ECE">
        <w:rPr>
          <w:lang w:val="en-ZA"/>
        </w:rPr>
        <w:t xml:space="preserve">: </w:t>
      </w:r>
      <w:r w:rsidRPr="00873BD3">
        <w:rPr>
          <w:lang w:val="en-ZA"/>
        </w:rPr>
        <w:t xml:space="preserve">This clause </w:t>
      </w:r>
      <w:r w:rsidRPr="00873BD3">
        <w:t>provides for the Domestic Minimum Top-up Tax</w:t>
      </w:r>
      <w:r w:rsidRPr="00873BD3">
        <w:rPr>
          <w:lang w:val="en-ZA"/>
        </w:rPr>
        <w:t xml:space="preserve"> calculations for Domestic Constituent Entities that are Minority-Owned Constituent Entities, Domestic Constituent Entities that are Investment Entities, Domestic Joint Venture Groups and other Domestic Constituent Entities. This clause also provides for the Domestic Minimum Top-up Tax for an Investment Entity. </w:t>
      </w:r>
    </w:p>
    <w:p w14:paraId="1F562605"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84" w:name="_Hlk178537604"/>
      <w:bookmarkEnd w:id="83"/>
      <w:r w:rsidRPr="00873BD3">
        <w:rPr>
          <w:rFonts w:eastAsia="Times New Roman" w:cstheme="minorHAnsi"/>
          <w:b/>
          <w:bCs/>
          <w:sz w:val="26"/>
          <w:szCs w:val="26"/>
        </w:rPr>
        <w:t>CLAUSES 17, 18 AND 19</w:t>
      </w:r>
    </w:p>
    <w:p w14:paraId="46FD421E" w14:textId="77777777" w:rsidR="004409EA" w:rsidRPr="00D952FF" w:rsidRDefault="004409EA" w:rsidP="004409EA">
      <w:pPr>
        <w:ind w:left="851"/>
        <w:jc w:val="both"/>
        <w:rPr>
          <w:rFonts w:eastAsia="Times New Roman" w:cstheme="minorHAnsi"/>
          <w:b/>
          <w:bCs/>
          <w:szCs w:val="24"/>
          <w:lang w:val="en-ZA"/>
        </w:rPr>
      </w:pPr>
      <w:bookmarkStart w:id="85" w:name="_Hlk178537617"/>
      <w:bookmarkEnd w:id="84"/>
      <w:r w:rsidRPr="00D952FF">
        <w:rPr>
          <w:rFonts w:eastAsia="Times New Roman" w:cstheme="minorHAnsi"/>
          <w:b/>
          <w:bCs/>
          <w:szCs w:val="24"/>
          <w:lang w:val="en-ZA"/>
        </w:rPr>
        <w:t>Global Minimum Tax: Sections 17, 18 and 19</w:t>
      </w:r>
    </w:p>
    <w:p w14:paraId="7CDE4A7E" w14:textId="77777777" w:rsidR="004409EA" w:rsidRPr="00873BD3" w:rsidRDefault="004409EA" w:rsidP="004A1AA5">
      <w:pPr>
        <w:pStyle w:val="MParagraph"/>
        <w:rPr>
          <w:lang w:val="en-ZA"/>
        </w:rPr>
      </w:pPr>
      <w:r w:rsidRPr="00873BD3">
        <w:rPr>
          <w:lang w:val="en-ZA"/>
        </w:rPr>
        <w:t>Clauses (17), (18) and (19)</w:t>
      </w:r>
      <w:r w:rsidRPr="00873BD3">
        <w:rPr>
          <w:i/>
          <w:iCs/>
          <w:lang w:val="en-ZA"/>
        </w:rPr>
        <w:t xml:space="preserve">: </w:t>
      </w:r>
      <w:r w:rsidRPr="00873BD3">
        <w:rPr>
          <w:lang w:val="en-ZA"/>
        </w:rPr>
        <w:t xml:space="preserve">These clauses provide for the transitional rules.  </w:t>
      </w:r>
      <w:r w:rsidRPr="00873BD3">
        <w:t xml:space="preserve">  </w:t>
      </w:r>
      <w:r w:rsidRPr="00873BD3">
        <w:rPr>
          <w:lang w:val="en-ZA"/>
        </w:rPr>
        <w:t xml:space="preserve"> </w:t>
      </w:r>
    </w:p>
    <w:p w14:paraId="76DCBC8E"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86" w:name="_Hlk178537717"/>
      <w:bookmarkEnd w:id="85"/>
      <w:r w:rsidRPr="00873BD3">
        <w:rPr>
          <w:rFonts w:eastAsia="Times New Roman" w:cstheme="minorHAnsi"/>
          <w:b/>
          <w:bCs/>
          <w:sz w:val="26"/>
          <w:szCs w:val="26"/>
        </w:rPr>
        <w:lastRenderedPageBreak/>
        <w:t>CLAUSE 20</w:t>
      </w:r>
    </w:p>
    <w:p w14:paraId="0D3A8C4D" w14:textId="77777777" w:rsidR="004409EA" w:rsidRPr="00D952FF" w:rsidRDefault="004409EA" w:rsidP="004409EA">
      <w:pPr>
        <w:ind w:left="851"/>
        <w:jc w:val="both"/>
        <w:rPr>
          <w:rFonts w:eastAsia="Times New Roman" w:cstheme="minorHAnsi"/>
          <w:b/>
          <w:bCs/>
          <w:szCs w:val="24"/>
          <w:lang w:val="en-ZA"/>
        </w:rPr>
      </w:pPr>
      <w:bookmarkStart w:id="87" w:name="_Hlk178537731"/>
      <w:bookmarkEnd w:id="86"/>
      <w:r w:rsidRPr="00D952FF">
        <w:rPr>
          <w:rFonts w:eastAsia="Times New Roman" w:cstheme="minorHAnsi"/>
          <w:b/>
          <w:bCs/>
          <w:szCs w:val="24"/>
          <w:lang w:val="en-ZA"/>
        </w:rPr>
        <w:t>Global Minimum Tax: Section 20</w:t>
      </w:r>
    </w:p>
    <w:p w14:paraId="1A250B11" w14:textId="77777777" w:rsidR="004409EA" w:rsidRPr="00873BD3" w:rsidRDefault="004409EA" w:rsidP="004A1AA5">
      <w:pPr>
        <w:pStyle w:val="MParagraph"/>
      </w:pPr>
      <w:r w:rsidRPr="00873BD3">
        <w:rPr>
          <w:lang w:val="en-ZA"/>
        </w:rPr>
        <w:t>Clause (20)</w:t>
      </w:r>
      <w:r w:rsidRPr="00D952FF">
        <w:rPr>
          <w:lang w:val="en-ZA"/>
        </w:rPr>
        <w:t xml:space="preserve">: </w:t>
      </w:r>
      <w:r w:rsidRPr="00873BD3">
        <w:rPr>
          <w:lang w:val="en-ZA"/>
        </w:rPr>
        <w:t xml:space="preserve">This clause state that </w:t>
      </w:r>
      <w:bookmarkEnd w:id="87"/>
      <w:r w:rsidRPr="00873BD3">
        <w:rPr>
          <w:lang w:val="en-ZA"/>
        </w:rPr>
        <w:t>t</w:t>
      </w:r>
      <w:r w:rsidRPr="00873BD3">
        <w:t>he top-up tax levied and collected is for the benefit of the National Revenue Fund.</w:t>
      </w:r>
    </w:p>
    <w:p w14:paraId="1A263B48"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88" w:name="_Hlk178537750"/>
      <w:r w:rsidRPr="00873BD3">
        <w:rPr>
          <w:rFonts w:eastAsia="Times New Roman" w:cstheme="minorHAnsi"/>
          <w:b/>
          <w:bCs/>
          <w:sz w:val="26"/>
          <w:szCs w:val="26"/>
        </w:rPr>
        <w:t>CLAUSE 21</w:t>
      </w:r>
    </w:p>
    <w:bookmarkEnd w:id="88"/>
    <w:p w14:paraId="47BD0429" w14:textId="77777777" w:rsidR="004409EA" w:rsidRPr="00496AFD" w:rsidRDefault="004409EA" w:rsidP="004409EA">
      <w:pPr>
        <w:ind w:left="851"/>
        <w:jc w:val="both"/>
        <w:rPr>
          <w:rFonts w:eastAsia="Times New Roman" w:cstheme="minorHAnsi"/>
          <w:b/>
          <w:bCs/>
          <w:szCs w:val="24"/>
          <w:lang w:val="en-ZA"/>
        </w:rPr>
      </w:pPr>
      <w:r w:rsidRPr="00496AFD">
        <w:rPr>
          <w:rFonts w:eastAsia="Times New Roman" w:cstheme="minorHAnsi"/>
          <w:b/>
          <w:bCs/>
          <w:szCs w:val="24"/>
          <w:lang w:val="en-ZA"/>
        </w:rPr>
        <w:t>Global Minimum Tax: Section 21</w:t>
      </w:r>
    </w:p>
    <w:p w14:paraId="39556BEA" w14:textId="77777777" w:rsidR="004409EA" w:rsidRDefault="004409EA" w:rsidP="004A1AA5">
      <w:pPr>
        <w:pStyle w:val="MParagraph"/>
      </w:pPr>
      <w:r w:rsidRPr="00873BD3">
        <w:rPr>
          <w:lang w:val="en-ZA"/>
        </w:rPr>
        <w:t>Clause (21)</w:t>
      </w:r>
      <w:r w:rsidRPr="00496AFD">
        <w:rPr>
          <w:lang w:val="en-ZA"/>
        </w:rPr>
        <w:t xml:space="preserve">: </w:t>
      </w:r>
      <w:r w:rsidRPr="00873BD3">
        <w:rPr>
          <w:lang w:val="en-ZA"/>
        </w:rPr>
        <w:t xml:space="preserve">This clause defines persons subject to tax and state that the tax should be paid in </w:t>
      </w:r>
      <w:r w:rsidRPr="00873BD3">
        <w:t xml:space="preserve">the manner set out in the Global Minimum Tax Administration Act. </w:t>
      </w:r>
    </w:p>
    <w:p w14:paraId="1D19D3BD"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89" w:name="_Hlk178537784"/>
      <w:r w:rsidRPr="00873BD3">
        <w:rPr>
          <w:rFonts w:eastAsia="Times New Roman" w:cstheme="minorHAnsi"/>
          <w:b/>
          <w:bCs/>
          <w:sz w:val="26"/>
          <w:szCs w:val="26"/>
        </w:rPr>
        <w:t>CLAUSE 22</w:t>
      </w:r>
    </w:p>
    <w:p w14:paraId="02DCCA70" w14:textId="77777777" w:rsidR="004409EA" w:rsidRPr="00496AFD" w:rsidRDefault="004409EA" w:rsidP="004409EA">
      <w:pPr>
        <w:ind w:left="851"/>
        <w:jc w:val="both"/>
        <w:rPr>
          <w:rFonts w:eastAsia="Times New Roman" w:cstheme="minorHAnsi"/>
          <w:b/>
          <w:bCs/>
          <w:szCs w:val="24"/>
        </w:rPr>
      </w:pPr>
      <w:bookmarkStart w:id="90" w:name="_Hlk178537795"/>
      <w:bookmarkEnd w:id="89"/>
      <w:r w:rsidRPr="00496AFD">
        <w:rPr>
          <w:rFonts w:eastAsia="Times New Roman" w:cstheme="minorHAnsi"/>
          <w:b/>
          <w:bCs/>
          <w:szCs w:val="24"/>
          <w:lang w:val="en-ZA"/>
        </w:rPr>
        <w:t xml:space="preserve">Global Minimum Tax: </w:t>
      </w:r>
      <w:r w:rsidRPr="00496AFD">
        <w:rPr>
          <w:rFonts w:eastAsia="Times New Roman" w:cstheme="minorHAnsi"/>
          <w:b/>
          <w:bCs/>
          <w:szCs w:val="24"/>
        </w:rPr>
        <w:t>Section 22</w:t>
      </w:r>
    </w:p>
    <w:p w14:paraId="6B4ED6D1" w14:textId="77777777" w:rsidR="004409EA" w:rsidRPr="00873BD3" w:rsidRDefault="004409EA" w:rsidP="004A1AA5">
      <w:pPr>
        <w:pStyle w:val="MParagraph"/>
      </w:pPr>
      <w:r w:rsidRPr="00496AFD">
        <w:t xml:space="preserve">Clause (22): This </w:t>
      </w:r>
      <w:proofErr w:type="spellStart"/>
      <w:r w:rsidRPr="00496AFD">
        <w:t>claus</w:t>
      </w:r>
      <w:proofErr w:type="spellEnd"/>
      <w:r w:rsidRPr="00873BD3">
        <w:rPr>
          <w:lang w:val="en-ZA"/>
        </w:rPr>
        <w:t>e ensures that i</w:t>
      </w:r>
      <w:r w:rsidRPr="00873BD3">
        <w:t xml:space="preserve">f the Top-up Tax amount computed under the </w:t>
      </w:r>
      <w:proofErr w:type="spellStart"/>
      <w:r w:rsidRPr="00873BD3">
        <w:t>GloBE</w:t>
      </w:r>
      <w:proofErr w:type="spellEnd"/>
      <w:r w:rsidRPr="00873BD3">
        <w:t xml:space="preserve"> Model Rules is in a foreign currency, it shall be translated into the Republic by using the average exchange rate. </w:t>
      </w:r>
    </w:p>
    <w:p w14:paraId="4A940F9B" w14:textId="77777777" w:rsidR="004409EA" w:rsidRPr="00873BD3" w:rsidRDefault="004409EA" w:rsidP="004409EA">
      <w:pPr>
        <w:spacing w:before="300" w:after="240" w:line="240" w:lineRule="auto"/>
        <w:ind w:left="851"/>
        <w:jc w:val="both"/>
        <w:rPr>
          <w:rFonts w:eastAsia="Times New Roman" w:cstheme="minorHAnsi"/>
          <w:b/>
          <w:bCs/>
          <w:sz w:val="26"/>
          <w:szCs w:val="26"/>
        </w:rPr>
      </w:pPr>
      <w:bookmarkStart w:id="91" w:name="_Hlk178537812"/>
      <w:bookmarkEnd w:id="90"/>
      <w:r w:rsidRPr="00873BD3">
        <w:rPr>
          <w:rFonts w:eastAsia="Times New Roman" w:cstheme="minorHAnsi"/>
          <w:b/>
          <w:bCs/>
          <w:sz w:val="26"/>
          <w:szCs w:val="26"/>
        </w:rPr>
        <w:t>CLAUSES 23 AND 24</w:t>
      </w:r>
    </w:p>
    <w:bookmarkEnd w:id="91"/>
    <w:p w14:paraId="2D278BA5" w14:textId="77777777" w:rsidR="004409EA" w:rsidRPr="005D5852" w:rsidRDefault="004409EA" w:rsidP="004409EA">
      <w:pPr>
        <w:ind w:left="851"/>
        <w:jc w:val="both"/>
        <w:rPr>
          <w:rFonts w:eastAsia="Times New Roman" w:cstheme="minorHAnsi"/>
          <w:b/>
          <w:bCs/>
          <w:szCs w:val="24"/>
        </w:rPr>
      </w:pPr>
      <w:r w:rsidRPr="005D5852">
        <w:rPr>
          <w:rFonts w:eastAsia="Times New Roman" w:cstheme="minorHAnsi"/>
          <w:b/>
          <w:bCs/>
          <w:szCs w:val="24"/>
          <w:lang w:val="en-ZA"/>
        </w:rPr>
        <w:t xml:space="preserve">Global Minimum Tax: Sections </w:t>
      </w:r>
      <w:r w:rsidRPr="005D5852">
        <w:rPr>
          <w:rFonts w:eastAsia="Times New Roman" w:cstheme="minorHAnsi"/>
          <w:b/>
          <w:bCs/>
          <w:szCs w:val="24"/>
        </w:rPr>
        <w:t>23 and 24</w:t>
      </w:r>
    </w:p>
    <w:p w14:paraId="612506B7" w14:textId="77777777" w:rsidR="004409EA" w:rsidRPr="00873BD3" w:rsidRDefault="004409EA" w:rsidP="004A1AA5">
      <w:pPr>
        <w:pStyle w:val="MParagraph"/>
        <w:rPr>
          <w:i/>
          <w:iCs/>
          <w:lang w:val="en-ZA"/>
        </w:rPr>
      </w:pPr>
      <w:r w:rsidRPr="005D5852">
        <w:t xml:space="preserve">Clause (23): </w:t>
      </w:r>
      <w:r w:rsidRPr="00873BD3">
        <w:t xml:space="preserve">This clause enables the Minister of Finance to update the model rules and guidance to be considered in applying the GMT and DMTT, </w:t>
      </w:r>
      <w:proofErr w:type="gramStart"/>
      <w:r w:rsidRPr="00873BD3">
        <w:t>so as to</w:t>
      </w:r>
      <w:proofErr w:type="gramEnd"/>
      <w:r w:rsidRPr="00873BD3">
        <w:t xml:space="preserve"> maintain consistency with the internationally adopted approach as it is developed further, while preserving the right to make such modifications as may be required by the South African context. </w:t>
      </w:r>
      <w:proofErr w:type="gramStart"/>
      <w:r w:rsidRPr="00873BD3">
        <w:t>Similar to</w:t>
      </w:r>
      <w:proofErr w:type="gramEnd"/>
      <w:r w:rsidRPr="00873BD3">
        <w:t xml:space="preserve"> the approach used in the Customs and Excise Act, 1964, with respect to tariff amendments, the updates will lapse unless approved by Parliament.</w:t>
      </w:r>
    </w:p>
    <w:p w14:paraId="647F8926" w14:textId="77777777" w:rsidR="004409EA" w:rsidRPr="00873BD3" w:rsidRDefault="004409EA" w:rsidP="004409EA">
      <w:pPr>
        <w:ind w:left="851"/>
        <w:jc w:val="both"/>
        <w:rPr>
          <w:rFonts w:eastAsia="Times New Roman" w:cstheme="minorHAnsi"/>
          <w:szCs w:val="24"/>
          <w:lang w:val="en-ZA"/>
        </w:rPr>
      </w:pPr>
      <w:r w:rsidRPr="00873BD3">
        <w:rPr>
          <w:rFonts w:eastAsia="Times New Roman" w:cstheme="minorHAnsi"/>
          <w:szCs w:val="24"/>
          <w:lang w:val="en-ZA"/>
        </w:rPr>
        <w:t>Clause (24): This clause enables the Minister of Finance to make regulations for the proper implementation of the Act.</w:t>
      </w:r>
    </w:p>
    <w:p w14:paraId="0BBD5B83" w14:textId="77777777" w:rsidR="004409EA" w:rsidRPr="00873BD3" w:rsidRDefault="004409EA" w:rsidP="004409EA">
      <w:pPr>
        <w:spacing w:before="300" w:after="240" w:line="240" w:lineRule="auto"/>
        <w:ind w:left="851"/>
        <w:jc w:val="both"/>
        <w:rPr>
          <w:rFonts w:eastAsia="Times New Roman" w:cstheme="minorHAnsi"/>
          <w:b/>
          <w:bCs/>
          <w:sz w:val="26"/>
          <w:szCs w:val="26"/>
        </w:rPr>
      </w:pPr>
      <w:r w:rsidRPr="00873BD3">
        <w:rPr>
          <w:rFonts w:eastAsia="Times New Roman" w:cstheme="minorHAnsi"/>
          <w:b/>
          <w:bCs/>
          <w:sz w:val="26"/>
          <w:szCs w:val="26"/>
        </w:rPr>
        <w:t>CLAUSE 25</w:t>
      </w:r>
    </w:p>
    <w:p w14:paraId="7A6C68DC" w14:textId="77777777" w:rsidR="004409EA" w:rsidRPr="00873BD3" w:rsidRDefault="004409EA" w:rsidP="004A1AA5">
      <w:pPr>
        <w:pStyle w:val="MParagraph"/>
        <w:rPr>
          <w:lang w:val="en-ZA"/>
        </w:rPr>
      </w:pPr>
      <w:r w:rsidRPr="00873BD3">
        <w:rPr>
          <w:lang w:val="en-ZA"/>
        </w:rPr>
        <w:t xml:space="preserve">Short title and </w:t>
      </w:r>
      <w:r w:rsidRPr="005D5852">
        <w:t>commencement</w:t>
      </w:r>
      <w:r w:rsidRPr="00873BD3">
        <w:rPr>
          <w:lang w:val="en-ZA"/>
        </w:rPr>
        <w:t xml:space="preserve">  </w:t>
      </w:r>
    </w:p>
    <w:p w14:paraId="58BFFBF2" w14:textId="77777777" w:rsidR="004409EA" w:rsidRDefault="004409EA" w:rsidP="00672AD5">
      <w:pPr>
        <w:pStyle w:val="MParagraph"/>
      </w:pPr>
    </w:p>
    <w:sectPr w:rsidR="004409EA" w:rsidSect="00F80CB8">
      <w:headerReference w:type="even" r:id="rId25"/>
      <w:headerReference w:type="default" r:id="rId26"/>
      <w:footerReference w:type="even" r:id="rId27"/>
      <w:footerReference w:type="default" r:id="rId28"/>
      <w:headerReference w:type="first" r:id="rId29"/>
      <w:footerReference w:type="first" r:id="rId30"/>
      <w:pgSz w:w="11907" w:h="16840" w:code="9"/>
      <w:pgMar w:top="1928" w:right="1440" w:bottom="1560" w:left="1440"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4335E" w14:textId="77777777" w:rsidR="00187624" w:rsidRDefault="00187624" w:rsidP="00B979D0">
      <w:pPr>
        <w:spacing w:after="0" w:line="240" w:lineRule="auto"/>
      </w:pPr>
      <w:r>
        <w:separator/>
      </w:r>
    </w:p>
  </w:endnote>
  <w:endnote w:type="continuationSeparator" w:id="0">
    <w:p w14:paraId="652A1F45" w14:textId="77777777" w:rsidR="00187624" w:rsidRDefault="00187624" w:rsidP="00B9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5A375" w14:textId="77777777" w:rsidR="00D511C5" w:rsidRPr="00B03586" w:rsidRDefault="00641E9C" w:rsidP="0071740B">
    <w:pPr>
      <w:pStyle w:val="Footer"/>
      <w:jc w:val="left"/>
      <w:rPr>
        <w:sz w:val="18"/>
        <w:szCs w:val="18"/>
      </w:rPr>
    </w:pPr>
    <w:r w:rsidRPr="00B03586">
      <w:rPr>
        <w:sz w:val="18"/>
        <w:szCs w:val="18"/>
      </w:rPr>
      <w:t>NATIONAL TREASURY</w:t>
    </w:r>
    <w:r w:rsidR="003143DB" w:rsidRPr="00B03586">
      <w:rPr>
        <w:sz w:val="18"/>
        <w:szCs w:val="18"/>
      </w:rPr>
      <w:t xml:space="preserve"> 2024</w:t>
    </w:r>
    <w:r w:rsidRPr="00B03586">
      <w:rPr>
        <w:sz w:val="18"/>
        <w:szCs w:val="18"/>
      </w:rPr>
      <w:t xml:space="preserve">   |   </w:t>
    </w:r>
    <w:r w:rsidRPr="00B03586">
      <w:rPr>
        <w:sz w:val="18"/>
        <w:szCs w:val="18"/>
      </w:rPr>
      <w:fldChar w:fldCharType="begin"/>
    </w:r>
    <w:r w:rsidRPr="00B03586">
      <w:rPr>
        <w:sz w:val="18"/>
        <w:szCs w:val="18"/>
      </w:rPr>
      <w:instrText xml:space="preserve"> PAGE   \* MERGEFORMAT </w:instrText>
    </w:r>
    <w:r w:rsidRPr="00B03586">
      <w:rPr>
        <w:sz w:val="18"/>
        <w:szCs w:val="18"/>
      </w:rPr>
      <w:fldChar w:fldCharType="separate"/>
    </w:r>
    <w:r w:rsidRPr="00B03586">
      <w:rPr>
        <w:noProof/>
        <w:sz w:val="18"/>
        <w:szCs w:val="18"/>
      </w:rPr>
      <w:t>1</w:t>
    </w:r>
    <w:r w:rsidRPr="00B03586">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74F1" w14:textId="77777777" w:rsidR="0071740B" w:rsidRPr="00B03586" w:rsidRDefault="0071740B" w:rsidP="0071740B">
    <w:pPr>
      <w:pStyle w:val="Footer"/>
      <w:rPr>
        <w:sz w:val="18"/>
        <w:szCs w:val="18"/>
      </w:rPr>
    </w:pPr>
    <w:r w:rsidRPr="00B03586">
      <w:rPr>
        <w:sz w:val="18"/>
        <w:szCs w:val="18"/>
      </w:rPr>
      <w:t xml:space="preserve">NATIONAL TREASURY 2024   |   </w:t>
    </w:r>
    <w:r w:rsidRPr="00B03586">
      <w:rPr>
        <w:sz w:val="18"/>
        <w:szCs w:val="18"/>
      </w:rPr>
      <w:fldChar w:fldCharType="begin"/>
    </w:r>
    <w:r w:rsidRPr="00B03586">
      <w:rPr>
        <w:sz w:val="18"/>
        <w:szCs w:val="18"/>
      </w:rPr>
      <w:instrText xml:space="preserve"> PAGE   \* MERGEFORMAT </w:instrText>
    </w:r>
    <w:r w:rsidRPr="00B03586">
      <w:rPr>
        <w:sz w:val="18"/>
        <w:szCs w:val="18"/>
      </w:rPr>
      <w:fldChar w:fldCharType="separate"/>
    </w:r>
    <w:r w:rsidRPr="00B03586">
      <w:rPr>
        <w:noProof/>
        <w:sz w:val="18"/>
        <w:szCs w:val="18"/>
      </w:rPr>
      <w:t>1</w:t>
    </w:r>
    <w:r w:rsidRPr="00B03586">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707F" w14:textId="77777777" w:rsidR="003A4D88" w:rsidRPr="0071740B" w:rsidRDefault="003A4D88" w:rsidP="003143DB">
    <w:pPr>
      <w:pStyle w:val="Footer"/>
      <w:jc w:val="left"/>
      <w:rPr>
        <w:sz w:val="18"/>
        <w:szCs w:val="18"/>
      </w:rPr>
    </w:pPr>
    <w:r w:rsidRPr="0071740B">
      <w:rPr>
        <w:sz w:val="18"/>
        <w:szCs w:val="18"/>
      </w:rPr>
      <w:fldChar w:fldCharType="begin"/>
    </w:r>
    <w:r w:rsidRPr="0071740B">
      <w:rPr>
        <w:sz w:val="18"/>
        <w:szCs w:val="18"/>
      </w:rPr>
      <w:instrText xml:space="preserve"> PAGE   \* MERGEFORMAT </w:instrText>
    </w:r>
    <w:r w:rsidRPr="0071740B">
      <w:rPr>
        <w:sz w:val="18"/>
        <w:szCs w:val="18"/>
      </w:rPr>
      <w:fldChar w:fldCharType="separate"/>
    </w:r>
    <w:r w:rsidRPr="0071740B">
      <w:rPr>
        <w:sz w:val="18"/>
        <w:szCs w:val="18"/>
      </w:rPr>
      <w:t>1</w:t>
    </w:r>
    <w:r w:rsidRPr="0071740B">
      <w:rPr>
        <w:noProof/>
        <w:sz w:val="18"/>
        <w:szCs w:val="18"/>
      </w:rPr>
      <w:fldChar w:fldCharType="end"/>
    </w:r>
    <w:r w:rsidRPr="0071740B">
      <w:rPr>
        <w:noProof/>
        <w:sz w:val="18"/>
        <w:szCs w:val="18"/>
      </w:rPr>
      <w:t xml:space="preserve">   |   NATIONAL TREASURY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10935" w14:textId="77777777" w:rsidR="00D412CD" w:rsidRPr="00B03586" w:rsidRDefault="00D412CD" w:rsidP="003143DB">
    <w:pPr>
      <w:pStyle w:val="Footer"/>
      <w:rPr>
        <w:sz w:val="18"/>
        <w:szCs w:val="18"/>
      </w:rPr>
    </w:pPr>
    <w:r w:rsidRPr="00B03586">
      <w:rPr>
        <w:sz w:val="18"/>
        <w:szCs w:val="18"/>
      </w:rPr>
      <w:t xml:space="preserve">NATIONAL TREASURY 2024   |   </w:t>
    </w:r>
    <w:r w:rsidRPr="00B03586">
      <w:rPr>
        <w:sz w:val="18"/>
        <w:szCs w:val="18"/>
      </w:rPr>
      <w:fldChar w:fldCharType="begin"/>
    </w:r>
    <w:r w:rsidRPr="00B03586">
      <w:rPr>
        <w:sz w:val="18"/>
        <w:szCs w:val="18"/>
      </w:rPr>
      <w:instrText xml:space="preserve"> PAGE   \* MERGEFORMAT </w:instrText>
    </w:r>
    <w:r w:rsidRPr="00B03586">
      <w:rPr>
        <w:sz w:val="18"/>
        <w:szCs w:val="18"/>
      </w:rPr>
      <w:fldChar w:fldCharType="separate"/>
    </w:r>
    <w:r w:rsidRPr="00B03586">
      <w:rPr>
        <w:sz w:val="18"/>
        <w:szCs w:val="18"/>
      </w:rPr>
      <w:t>1</w:t>
    </w:r>
    <w:r w:rsidRPr="00B03586">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65D1E" w14:textId="77777777" w:rsidR="00D412CD" w:rsidRPr="0071740B" w:rsidRDefault="00D412CD" w:rsidP="00923115">
    <w:pPr>
      <w:pStyle w:val="Footer"/>
      <w:rPr>
        <w:sz w:val="18"/>
        <w:szCs w:val="18"/>
      </w:rPr>
    </w:pPr>
    <w:r w:rsidRPr="0071740B">
      <w:rPr>
        <w:sz w:val="18"/>
        <w:szCs w:val="18"/>
      </w:rPr>
      <w:t xml:space="preserve">NATIONAL TREASURY 2024   |   </w:t>
    </w:r>
    <w:r w:rsidRPr="0071740B">
      <w:rPr>
        <w:sz w:val="18"/>
        <w:szCs w:val="18"/>
      </w:rPr>
      <w:fldChar w:fldCharType="begin"/>
    </w:r>
    <w:r w:rsidRPr="0071740B">
      <w:rPr>
        <w:sz w:val="18"/>
        <w:szCs w:val="18"/>
      </w:rPr>
      <w:instrText xml:space="preserve"> PAGE   \* MERGEFORMAT </w:instrText>
    </w:r>
    <w:r w:rsidRPr="0071740B">
      <w:rPr>
        <w:sz w:val="18"/>
        <w:szCs w:val="18"/>
      </w:rPr>
      <w:fldChar w:fldCharType="separate"/>
    </w:r>
    <w:r w:rsidRPr="0071740B">
      <w:rPr>
        <w:noProof/>
        <w:sz w:val="18"/>
        <w:szCs w:val="18"/>
      </w:rPr>
      <w:t>1</w:t>
    </w:r>
    <w:r w:rsidRPr="0071740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D4997" w14:textId="77777777" w:rsidR="00187624" w:rsidRDefault="00187624" w:rsidP="00B979D0">
      <w:pPr>
        <w:spacing w:after="0" w:line="240" w:lineRule="auto"/>
      </w:pPr>
      <w:r>
        <w:separator/>
      </w:r>
    </w:p>
  </w:footnote>
  <w:footnote w:type="continuationSeparator" w:id="0">
    <w:p w14:paraId="60382FD2" w14:textId="77777777" w:rsidR="00187624" w:rsidRDefault="00187624" w:rsidP="00B979D0">
      <w:pPr>
        <w:spacing w:after="0" w:line="240" w:lineRule="auto"/>
      </w:pPr>
      <w:r>
        <w:continuationSeparator/>
      </w:r>
    </w:p>
  </w:footnote>
  <w:footnote w:id="1">
    <w:p w14:paraId="71896448" w14:textId="1F5473C2" w:rsidR="0060226A" w:rsidRPr="00F80CB8" w:rsidRDefault="0060226A" w:rsidP="00F80CB8">
      <w:pPr>
        <w:pStyle w:val="FootnoteText"/>
        <w:tabs>
          <w:tab w:val="left" w:pos="284"/>
        </w:tabs>
        <w:ind w:left="142" w:hanging="142"/>
        <w:rPr>
          <w:sz w:val="18"/>
          <w:szCs w:val="18"/>
        </w:rPr>
      </w:pPr>
      <w:r w:rsidRPr="00F80CB8">
        <w:rPr>
          <w:rStyle w:val="FootnoteReference"/>
          <w:sz w:val="18"/>
          <w:szCs w:val="18"/>
        </w:rPr>
        <w:footnoteRef/>
      </w:r>
      <w:r w:rsidRPr="00F80CB8">
        <w:rPr>
          <w:sz w:val="18"/>
          <w:szCs w:val="18"/>
        </w:rPr>
        <w:t xml:space="preserve"> </w:t>
      </w:r>
      <w:r w:rsidR="00F80CB8">
        <w:rPr>
          <w:sz w:val="18"/>
          <w:szCs w:val="18"/>
        </w:rPr>
        <w:tab/>
      </w:r>
      <w:hyperlink r:id="rId1" w:history="1">
        <w:r w:rsidR="00F80CB8" w:rsidRPr="00C97365">
          <w:rPr>
            <w:rStyle w:val="Hyperlink"/>
            <w:sz w:val="18"/>
            <w:szCs w:val="18"/>
          </w:rPr>
          <w:t>https://www.oecd.org/tax/beps/outcome-statement-on-the-two-pillar-solution-to-address-the-tax-challenges-arising-from-the-digitalisation-of-the-economy-july-2023.htm</w:t>
        </w:r>
      </w:hyperlink>
    </w:p>
  </w:footnote>
  <w:footnote w:id="2">
    <w:p w14:paraId="3ED90B7A" w14:textId="4764D3F8" w:rsidR="0060226A" w:rsidRPr="00F80CB8" w:rsidRDefault="0060226A" w:rsidP="00F80CB8">
      <w:pPr>
        <w:pStyle w:val="FootnoteText"/>
        <w:tabs>
          <w:tab w:val="left" w:pos="284"/>
        </w:tabs>
        <w:ind w:left="142" w:hanging="142"/>
        <w:rPr>
          <w:sz w:val="18"/>
          <w:szCs w:val="18"/>
        </w:rPr>
      </w:pPr>
      <w:r w:rsidRPr="00F80CB8">
        <w:rPr>
          <w:rStyle w:val="FootnoteReference"/>
          <w:sz w:val="18"/>
          <w:szCs w:val="18"/>
        </w:rPr>
        <w:footnoteRef/>
      </w:r>
      <w:r w:rsidRPr="00F80CB8">
        <w:rPr>
          <w:sz w:val="18"/>
          <w:szCs w:val="18"/>
        </w:rPr>
        <w:t xml:space="preserve"> </w:t>
      </w:r>
      <w:r w:rsidR="00F80CB8">
        <w:rPr>
          <w:sz w:val="18"/>
          <w:szCs w:val="18"/>
        </w:rPr>
        <w:tab/>
      </w:r>
      <w:r w:rsidRPr="00F80CB8">
        <w:rPr>
          <w:sz w:val="18"/>
          <w:szCs w:val="18"/>
        </w:rPr>
        <w:t xml:space="preserve">OECD (2021), Tax Challenges Arising from the </w:t>
      </w:r>
      <w:r w:rsidRPr="00F80CB8">
        <w:rPr>
          <w:sz w:val="18"/>
          <w:szCs w:val="18"/>
        </w:rPr>
        <w:t xml:space="preserve">Digitalisation of the Economy – Global Anti-Base Erosion Model Rules (Pillar Two): Inclusive Framework on BEPS, OECD, Paris, </w:t>
      </w:r>
      <w:hyperlink r:id="rId2" w:history="1">
        <w:r w:rsidR="00F80CB8" w:rsidRPr="00C97365">
          <w:rPr>
            <w:rStyle w:val="Hyperlink"/>
            <w:sz w:val="18"/>
            <w:szCs w:val="18"/>
          </w:rPr>
          <w:t>https://www.oecd.org/tax/beps/tax-challenges-arising-from-the-digitalisation-of-the-economy-global-anti-base-erosion-model-rules-pillar-two.htm</w:t>
        </w:r>
      </w:hyperlink>
    </w:p>
  </w:footnote>
  <w:footnote w:id="3">
    <w:p w14:paraId="279A21C3" w14:textId="0224BB6C" w:rsidR="0060226A" w:rsidRPr="00FC6E0E" w:rsidRDefault="0060226A" w:rsidP="00F80CB8">
      <w:pPr>
        <w:pStyle w:val="FootnoteText"/>
        <w:tabs>
          <w:tab w:val="left" w:pos="284"/>
        </w:tabs>
        <w:ind w:left="142" w:hanging="142"/>
      </w:pPr>
      <w:r w:rsidRPr="00F80CB8">
        <w:rPr>
          <w:rStyle w:val="FootnoteReference"/>
          <w:sz w:val="18"/>
          <w:szCs w:val="18"/>
        </w:rPr>
        <w:footnoteRef/>
      </w:r>
      <w:r w:rsidRPr="00F80CB8">
        <w:rPr>
          <w:sz w:val="18"/>
          <w:szCs w:val="18"/>
        </w:rPr>
        <w:t xml:space="preserve"> </w:t>
      </w:r>
      <w:r w:rsidR="00F80CB8">
        <w:rPr>
          <w:sz w:val="18"/>
          <w:szCs w:val="18"/>
        </w:rPr>
        <w:tab/>
      </w:r>
      <w:r w:rsidRPr="00F80CB8">
        <w:rPr>
          <w:sz w:val="18"/>
          <w:szCs w:val="18"/>
        </w:rPr>
        <w:t xml:space="preserve">OECD (2022), Tax Challenges Arising from the </w:t>
      </w:r>
      <w:r w:rsidRPr="00F80CB8">
        <w:rPr>
          <w:sz w:val="18"/>
          <w:szCs w:val="18"/>
        </w:rPr>
        <w:t xml:space="preserve">Digitalisation of the Economy – Commentary to the Global Anti-Base Erosion Model Rules (Pillar Two), OECD, Paris, </w:t>
      </w:r>
      <w:hyperlink r:id="rId3" w:history="1">
        <w:r w:rsidRPr="00F80CB8">
          <w:rPr>
            <w:rStyle w:val="Hyperlink"/>
            <w:sz w:val="18"/>
            <w:szCs w:val="18"/>
          </w:rPr>
          <w:t>https://www.oecd.org/tax/beps/tax-challenges-arising-from-the-digitalisation-of-the-economy-global-anti-base-erosion-model-rules-pillar-two-commentary.pdf</w:t>
        </w:r>
      </w:hyperlink>
    </w:p>
  </w:footnote>
  <w:footnote w:id="4">
    <w:p w14:paraId="4454C2BF" w14:textId="14E465AD" w:rsidR="00672AD5" w:rsidRPr="00A74DEB" w:rsidRDefault="00672AD5" w:rsidP="00F80CB8">
      <w:pPr>
        <w:pStyle w:val="FootnoteText"/>
        <w:ind w:left="142" w:hanging="142"/>
        <w:rPr>
          <w:lang w:val="en-ZA"/>
        </w:rPr>
      </w:pPr>
      <w:r>
        <w:rPr>
          <w:rStyle w:val="FootnoteReference"/>
        </w:rPr>
        <w:footnoteRef/>
      </w:r>
      <w:r>
        <w:t xml:space="preserve"> </w:t>
      </w:r>
      <w:r w:rsidR="00F80CB8">
        <w:tab/>
      </w:r>
      <w:r w:rsidRPr="00F80CB8">
        <w:rPr>
          <w:sz w:val="18"/>
          <w:szCs w:val="18"/>
        </w:rPr>
        <w:t xml:space="preserve">An ambulatory approach means that the reference in domestic law automatically updates every time the Commentary and Administrative Guidance is updated.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62C9" w14:textId="527B1600" w:rsidR="00D511C5" w:rsidRPr="003A4D88" w:rsidRDefault="00D511C5" w:rsidP="003A4D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0973" w14:textId="77777777" w:rsidR="00D511C5" w:rsidRPr="0071740B" w:rsidRDefault="00D511C5" w:rsidP="0071740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67C9" w14:textId="2F013A50" w:rsidR="00140C9F" w:rsidRPr="003A4D88" w:rsidRDefault="00140C9F" w:rsidP="003A4D88">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5944F" w14:textId="77777777" w:rsidR="0071740B" w:rsidRPr="00830946" w:rsidRDefault="0071740B" w:rsidP="0071740B">
    <w:pPr>
      <w:pStyle w:val="Header"/>
    </w:pPr>
    <w:r w:rsidRPr="00830946">
      <w:t>EXPLANATORY MEMORANDUM | GLOBAL MINIMUM TAX BILL, 2024</w:t>
    </w:r>
  </w:p>
  <w:p w14:paraId="28B77E48" w14:textId="77777777" w:rsidR="0071740B" w:rsidRPr="0071740B" w:rsidRDefault="0071740B" w:rsidP="0071740B">
    <w:pPr>
      <w:pStyle w:val="Header"/>
      <w:jc w:val="left"/>
      <w:rPr>
        <w:sz w:val="4"/>
        <w:szCs w:val="4"/>
      </w:rPr>
    </w:pPr>
  </w:p>
  <w:p w14:paraId="6C33B4EB" w14:textId="77777777" w:rsidR="0071740B" w:rsidRPr="003A4D88" w:rsidRDefault="0071740B" w:rsidP="003A4D88">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D7F6" w14:textId="77777777" w:rsidR="0071740B" w:rsidRPr="00830946" w:rsidRDefault="0071740B" w:rsidP="0071740B">
    <w:pPr>
      <w:pStyle w:val="Header"/>
      <w:jc w:val="left"/>
    </w:pPr>
    <w:r w:rsidRPr="00830946">
      <w:t>EXPLANATORY MEMORANDUM | GLOBAL MINIMUM TAX BILL, 2024</w:t>
    </w:r>
  </w:p>
  <w:p w14:paraId="699023F8" w14:textId="77777777" w:rsidR="003A4D88" w:rsidRPr="0071740B" w:rsidRDefault="003A4D88" w:rsidP="00641E9C">
    <w:pPr>
      <w:pStyle w:val="Header"/>
      <w:jc w:val="left"/>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E25" w14:textId="77777777" w:rsidR="0071740B" w:rsidRPr="00830946" w:rsidRDefault="0071740B" w:rsidP="0071740B">
    <w:pPr>
      <w:pStyle w:val="Header"/>
    </w:pPr>
    <w:r w:rsidRPr="00830946">
      <w:t>EXPLANATORY MEMORANDUM | GLOBAL MINIMUM TAX BILL, 2024</w:t>
    </w:r>
  </w:p>
  <w:p w14:paraId="3410D90C" w14:textId="77777777" w:rsidR="00D412CD" w:rsidRPr="0071740B" w:rsidRDefault="00D412CD" w:rsidP="0071740B">
    <w:pPr>
      <w:pStyle w:val="Header"/>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2A99" w14:textId="77777777" w:rsidR="0071740B" w:rsidRPr="00830946" w:rsidRDefault="0071740B" w:rsidP="0071740B">
    <w:pPr>
      <w:pStyle w:val="Header"/>
    </w:pPr>
    <w:r w:rsidRPr="00830946">
      <w:t>EXPLANATORY MEMORANDUM | GLOBAL MINIMUM TAX BILL, 2024</w:t>
    </w:r>
  </w:p>
  <w:p w14:paraId="38A91DCD" w14:textId="77777777" w:rsidR="0071740B" w:rsidRPr="0071740B" w:rsidRDefault="0071740B" w:rsidP="0071740B">
    <w:pPr>
      <w:pStyle w:val="Header"/>
      <w:jc w:val="left"/>
      <w:rPr>
        <w:sz w:val="4"/>
        <w:szCs w:val="4"/>
      </w:rPr>
    </w:pPr>
  </w:p>
  <w:p w14:paraId="3229C550" w14:textId="1D214BBB" w:rsidR="00D412CD" w:rsidRDefault="00D412CD" w:rsidP="00D132A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51DC"/>
    <w:multiLevelType w:val="hybridMultilevel"/>
    <w:tmpl w:val="3142F91E"/>
    <w:lvl w:ilvl="0" w:tplc="49B63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64FAC"/>
    <w:multiLevelType w:val="hybridMultilevel"/>
    <w:tmpl w:val="6AF0FCF4"/>
    <w:lvl w:ilvl="0" w:tplc="1C09001B">
      <w:start w:val="1"/>
      <w:numFmt w:val="lowerRoman"/>
      <w:lvlText w:val="%1."/>
      <w:lvlJc w:val="right"/>
      <w:pPr>
        <w:ind w:left="23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85258C"/>
    <w:multiLevelType w:val="hybridMultilevel"/>
    <w:tmpl w:val="BAE6923A"/>
    <w:lvl w:ilvl="0" w:tplc="FFFFFFFF">
      <w:start w:val="1"/>
      <w:numFmt w:val="upperRoman"/>
      <w:lvlText w:val="%1."/>
      <w:lvlJc w:val="right"/>
      <w:pPr>
        <w:ind w:left="1080" w:hanging="360"/>
      </w:pPr>
      <w:rPr>
        <w:i w:val="0"/>
        <w:iCs w:val="0"/>
      </w:rPr>
    </w:lvl>
    <w:lvl w:ilvl="1" w:tplc="FFFFFFFF">
      <w:start w:val="1"/>
      <w:numFmt w:val="lowerLetter"/>
      <w:lvlText w:val="%2."/>
      <w:lvlJc w:val="left"/>
      <w:pPr>
        <w:ind w:left="180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0E6C63"/>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041500"/>
    <w:multiLevelType w:val="hybridMultilevel"/>
    <w:tmpl w:val="BAE6923A"/>
    <w:lvl w:ilvl="0" w:tplc="FFFFFFFF">
      <w:start w:val="1"/>
      <w:numFmt w:val="upperRoman"/>
      <w:lvlText w:val="%1."/>
      <w:lvlJc w:val="right"/>
      <w:pPr>
        <w:ind w:left="1080" w:hanging="360"/>
      </w:pPr>
      <w:rPr>
        <w:i w:val="0"/>
        <w:iCs w:val="0"/>
      </w:rPr>
    </w:lvl>
    <w:lvl w:ilvl="1" w:tplc="FFFFFFFF">
      <w:start w:val="1"/>
      <w:numFmt w:val="lowerLetter"/>
      <w:lvlText w:val="%2."/>
      <w:lvlJc w:val="left"/>
      <w:pPr>
        <w:ind w:left="180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6EB3E4F"/>
    <w:multiLevelType w:val="hybridMultilevel"/>
    <w:tmpl w:val="4328BCC8"/>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CD3682A"/>
    <w:multiLevelType w:val="hybridMultilevel"/>
    <w:tmpl w:val="BAE6923A"/>
    <w:lvl w:ilvl="0" w:tplc="8834C1A4">
      <w:start w:val="1"/>
      <w:numFmt w:val="upperRoman"/>
      <w:lvlText w:val="%1."/>
      <w:lvlJc w:val="right"/>
      <w:pPr>
        <w:ind w:left="1080" w:hanging="360"/>
      </w:pPr>
      <w:rPr>
        <w:i w:val="0"/>
        <w:iCs w:val="0"/>
      </w:rPr>
    </w:lvl>
    <w:lvl w:ilvl="1" w:tplc="1C090019">
      <w:start w:val="1"/>
      <w:numFmt w:val="lowerLetter"/>
      <w:lvlText w:val="%2."/>
      <w:lvlJc w:val="left"/>
      <w:pPr>
        <w:ind w:left="1800" w:hanging="360"/>
      </w:pPr>
    </w:lvl>
    <w:lvl w:ilvl="2" w:tplc="1C090013">
      <w:start w:val="1"/>
      <w:numFmt w:val="upperRoman"/>
      <w:lvlText w:val="%3."/>
      <w:lvlJc w:val="right"/>
      <w:pPr>
        <w:ind w:left="2700" w:hanging="36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2971631"/>
    <w:multiLevelType w:val="hybridMultilevel"/>
    <w:tmpl w:val="35FEDA52"/>
    <w:lvl w:ilvl="0" w:tplc="238AA7D0">
      <w:start w:val="1"/>
      <w:numFmt w:val="bullet"/>
      <w:pStyle w:val="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05F48"/>
    <w:multiLevelType w:val="hybridMultilevel"/>
    <w:tmpl w:val="9106FFD2"/>
    <w:lvl w:ilvl="0" w:tplc="DDFA51BA">
      <w:start w:val="1"/>
      <w:numFmt w:val="bullet"/>
      <w:pStyle w:val="MBoxLis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F6494"/>
    <w:multiLevelType w:val="hybridMultilevel"/>
    <w:tmpl w:val="6F2A1154"/>
    <w:lvl w:ilvl="0" w:tplc="2C50468E">
      <w:start w:val="1"/>
      <w:numFmt w:val="bullet"/>
      <w:pStyle w:val="M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526D1"/>
    <w:multiLevelType w:val="hybridMultilevel"/>
    <w:tmpl w:val="FE4651B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1A598C"/>
    <w:multiLevelType w:val="hybridMultilevel"/>
    <w:tmpl w:val="33CA377E"/>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41C44846"/>
    <w:multiLevelType w:val="hybridMultilevel"/>
    <w:tmpl w:val="B54EE538"/>
    <w:lvl w:ilvl="0" w:tplc="3B081332">
      <w:start w:val="1"/>
      <w:numFmt w:val="bullet"/>
      <w:pStyle w:val="MSublist"/>
      <w:lvlText w:val=""/>
      <w:lvlJc w:val="left"/>
      <w:pPr>
        <w:ind w:left="1004"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2E17247"/>
    <w:multiLevelType w:val="hybridMultilevel"/>
    <w:tmpl w:val="B68E15CC"/>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50CF60E1"/>
    <w:multiLevelType w:val="hybridMultilevel"/>
    <w:tmpl w:val="BAE6923A"/>
    <w:lvl w:ilvl="0" w:tplc="FFFFFFFF">
      <w:start w:val="1"/>
      <w:numFmt w:val="upperRoman"/>
      <w:lvlText w:val="%1."/>
      <w:lvlJc w:val="right"/>
      <w:pPr>
        <w:ind w:left="1080" w:hanging="360"/>
      </w:pPr>
      <w:rPr>
        <w:i w:val="0"/>
        <w:iCs w:val="0"/>
      </w:rPr>
    </w:lvl>
    <w:lvl w:ilvl="1" w:tplc="FFFFFFFF">
      <w:start w:val="1"/>
      <w:numFmt w:val="lowerLetter"/>
      <w:lvlText w:val="%2."/>
      <w:lvlJc w:val="left"/>
      <w:pPr>
        <w:ind w:left="1800" w:hanging="360"/>
      </w:pPr>
    </w:lvl>
    <w:lvl w:ilvl="2" w:tplc="FFFFFFFF">
      <w:start w:val="1"/>
      <w:numFmt w:val="upp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AC565D3"/>
    <w:multiLevelType w:val="hybridMultilevel"/>
    <w:tmpl w:val="42E4A43E"/>
    <w:lvl w:ilvl="0" w:tplc="55E00AAA">
      <w:start w:val="1"/>
      <w:numFmt w:val="decimal"/>
      <w:lvlText w:val="%1."/>
      <w:lvlJc w:val="left"/>
      <w:pPr>
        <w:ind w:left="1080" w:hanging="720"/>
      </w:pPr>
      <w:rPr>
        <w:rFonts w:hint="default"/>
        <w:b/>
        <w:color w:val="C00000"/>
        <w:sz w:val="3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98B1187"/>
    <w:multiLevelType w:val="multilevel"/>
    <w:tmpl w:val="BF8E2300"/>
    <w:lvl w:ilvl="0">
      <w:start w:val="1"/>
      <w:numFmt w:val="decimal"/>
      <w:pStyle w:val="MH4"/>
      <w:lvlText w:val="%1."/>
      <w:lvlJc w:val="left"/>
      <w:pPr>
        <w:ind w:left="851" w:hanging="851"/>
      </w:pPr>
      <w:rPr>
        <w:rFonts w:hint="default"/>
      </w:rPr>
    </w:lvl>
    <w:lvl w:ilvl="1">
      <w:start w:val="1"/>
      <w:numFmt w:val="decimal"/>
      <w:pStyle w:val="MH5"/>
      <w:lvlText w:val="%1.%2"/>
      <w:lvlJc w:val="left"/>
      <w:pPr>
        <w:ind w:left="851" w:hanging="851"/>
      </w:pPr>
      <w:rPr>
        <w:rFonts w:hint="default"/>
      </w:rPr>
    </w:lvl>
    <w:lvl w:ilvl="2">
      <w:start w:val="1"/>
      <w:numFmt w:val="decimal"/>
      <w:pStyle w:val="MH6"/>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346BD6"/>
    <w:multiLevelType w:val="hybridMultilevel"/>
    <w:tmpl w:val="800CE56E"/>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710571134">
    <w:abstractNumId w:val="7"/>
  </w:num>
  <w:num w:numId="2" w16cid:durableId="1736969811">
    <w:abstractNumId w:val="12"/>
  </w:num>
  <w:num w:numId="3" w16cid:durableId="1466855759">
    <w:abstractNumId w:val="9"/>
  </w:num>
  <w:num w:numId="4" w16cid:durableId="114954924">
    <w:abstractNumId w:val="8"/>
  </w:num>
  <w:num w:numId="5" w16cid:durableId="37777391">
    <w:abstractNumId w:val="16"/>
  </w:num>
  <w:num w:numId="6" w16cid:durableId="1601254127">
    <w:abstractNumId w:val="6"/>
  </w:num>
  <w:num w:numId="7" w16cid:durableId="1143278896">
    <w:abstractNumId w:val="3"/>
  </w:num>
  <w:num w:numId="8" w16cid:durableId="1588541295">
    <w:abstractNumId w:val="10"/>
  </w:num>
  <w:num w:numId="9" w16cid:durableId="322858992">
    <w:abstractNumId w:val="1"/>
  </w:num>
  <w:num w:numId="10" w16cid:durableId="761339175">
    <w:abstractNumId w:val="0"/>
  </w:num>
  <w:num w:numId="11" w16cid:durableId="1566840142">
    <w:abstractNumId w:val="4"/>
  </w:num>
  <w:num w:numId="12" w16cid:durableId="694769841">
    <w:abstractNumId w:val="2"/>
  </w:num>
  <w:num w:numId="13" w16cid:durableId="1547526939">
    <w:abstractNumId w:val="14"/>
  </w:num>
  <w:num w:numId="14" w16cid:durableId="1299991944">
    <w:abstractNumId w:val="5"/>
  </w:num>
  <w:num w:numId="15" w16cid:durableId="1130246323">
    <w:abstractNumId w:val="17"/>
  </w:num>
  <w:num w:numId="16" w16cid:durableId="1696224920">
    <w:abstractNumId w:val="11"/>
  </w:num>
  <w:num w:numId="17" w16cid:durableId="419447580">
    <w:abstractNumId w:val="13"/>
  </w:num>
  <w:num w:numId="18" w16cid:durableId="171052200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88"/>
    <w:rsid w:val="00003A2C"/>
    <w:rsid w:val="00016012"/>
    <w:rsid w:val="0002404D"/>
    <w:rsid w:val="0002616A"/>
    <w:rsid w:val="000329FD"/>
    <w:rsid w:val="00035C00"/>
    <w:rsid w:val="00037337"/>
    <w:rsid w:val="0005326B"/>
    <w:rsid w:val="0005437B"/>
    <w:rsid w:val="00061233"/>
    <w:rsid w:val="0006218C"/>
    <w:rsid w:val="000633AE"/>
    <w:rsid w:val="00075940"/>
    <w:rsid w:val="00076DA9"/>
    <w:rsid w:val="00083D33"/>
    <w:rsid w:val="00092DE3"/>
    <w:rsid w:val="000A0CFE"/>
    <w:rsid w:val="000A60A2"/>
    <w:rsid w:val="000A65C3"/>
    <w:rsid w:val="000A71FF"/>
    <w:rsid w:val="000B39B1"/>
    <w:rsid w:val="000B68DB"/>
    <w:rsid w:val="000B78DA"/>
    <w:rsid w:val="000C043C"/>
    <w:rsid w:val="000E05E4"/>
    <w:rsid w:val="000E0F18"/>
    <w:rsid w:val="000E3522"/>
    <w:rsid w:val="000E5EE1"/>
    <w:rsid w:val="000E5FC2"/>
    <w:rsid w:val="001002E7"/>
    <w:rsid w:val="00102942"/>
    <w:rsid w:val="001117E4"/>
    <w:rsid w:val="00111935"/>
    <w:rsid w:val="001128C3"/>
    <w:rsid w:val="0012461A"/>
    <w:rsid w:val="00140C9F"/>
    <w:rsid w:val="00145250"/>
    <w:rsid w:val="001466F2"/>
    <w:rsid w:val="001471D7"/>
    <w:rsid w:val="00157DA0"/>
    <w:rsid w:val="00163139"/>
    <w:rsid w:val="001733CA"/>
    <w:rsid w:val="00187624"/>
    <w:rsid w:val="00197EEB"/>
    <w:rsid w:val="001B520A"/>
    <w:rsid w:val="001B6773"/>
    <w:rsid w:val="001C365E"/>
    <w:rsid w:val="001D34D0"/>
    <w:rsid w:val="001D5DC5"/>
    <w:rsid w:val="001F2F1F"/>
    <w:rsid w:val="0020112F"/>
    <w:rsid w:val="002059B4"/>
    <w:rsid w:val="0022590F"/>
    <w:rsid w:val="00232098"/>
    <w:rsid w:val="00232F85"/>
    <w:rsid w:val="0023574D"/>
    <w:rsid w:val="00242154"/>
    <w:rsid w:val="00242DC1"/>
    <w:rsid w:val="00247E97"/>
    <w:rsid w:val="00251593"/>
    <w:rsid w:val="00251DBB"/>
    <w:rsid w:val="00251F2C"/>
    <w:rsid w:val="00254DF0"/>
    <w:rsid w:val="002576DB"/>
    <w:rsid w:val="00263747"/>
    <w:rsid w:val="00267174"/>
    <w:rsid w:val="00286950"/>
    <w:rsid w:val="00293F43"/>
    <w:rsid w:val="00294108"/>
    <w:rsid w:val="00294FFE"/>
    <w:rsid w:val="002957A4"/>
    <w:rsid w:val="002A4319"/>
    <w:rsid w:val="002B494F"/>
    <w:rsid w:val="002B742B"/>
    <w:rsid w:val="002E05E0"/>
    <w:rsid w:val="002F0113"/>
    <w:rsid w:val="002F19E5"/>
    <w:rsid w:val="002F6007"/>
    <w:rsid w:val="003040FB"/>
    <w:rsid w:val="00312105"/>
    <w:rsid w:val="003143DB"/>
    <w:rsid w:val="00323285"/>
    <w:rsid w:val="00325351"/>
    <w:rsid w:val="0033073F"/>
    <w:rsid w:val="0033311E"/>
    <w:rsid w:val="00335515"/>
    <w:rsid w:val="00341029"/>
    <w:rsid w:val="003505A7"/>
    <w:rsid w:val="003627F3"/>
    <w:rsid w:val="003727C7"/>
    <w:rsid w:val="003774EA"/>
    <w:rsid w:val="003A4D88"/>
    <w:rsid w:val="003B0EDE"/>
    <w:rsid w:val="003D3C6A"/>
    <w:rsid w:val="003D5841"/>
    <w:rsid w:val="003E0C47"/>
    <w:rsid w:val="003F55B2"/>
    <w:rsid w:val="004011F9"/>
    <w:rsid w:val="00401679"/>
    <w:rsid w:val="004021C6"/>
    <w:rsid w:val="00413F7D"/>
    <w:rsid w:val="00424078"/>
    <w:rsid w:val="00430FB6"/>
    <w:rsid w:val="00431A13"/>
    <w:rsid w:val="0043799D"/>
    <w:rsid w:val="004409EA"/>
    <w:rsid w:val="004614DE"/>
    <w:rsid w:val="00466EA8"/>
    <w:rsid w:val="0047187A"/>
    <w:rsid w:val="00472174"/>
    <w:rsid w:val="00475080"/>
    <w:rsid w:val="004855E8"/>
    <w:rsid w:val="004908AC"/>
    <w:rsid w:val="004952C1"/>
    <w:rsid w:val="004A1AA5"/>
    <w:rsid w:val="004A3D67"/>
    <w:rsid w:val="004B16B0"/>
    <w:rsid w:val="004B60F3"/>
    <w:rsid w:val="004B75E6"/>
    <w:rsid w:val="004C28E7"/>
    <w:rsid w:val="004C3329"/>
    <w:rsid w:val="004D600D"/>
    <w:rsid w:val="004E019C"/>
    <w:rsid w:val="004E28D6"/>
    <w:rsid w:val="004E7B13"/>
    <w:rsid w:val="004E7E6E"/>
    <w:rsid w:val="004F30F2"/>
    <w:rsid w:val="004F42F1"/>
    <w:rsid w:val="004F4815"/>
    <w:rsid w:val="00500672"/>
    <w:rsid w:val="005027EC"/>
    <w:rsid w:val="00503B04"/>
    <w:rsid w:val="00505685"/>
    <w:rsid w:val="00522243"/>
    <w:rsid w:val="005253E2"/>
    <w:rsid w:val="00532937"/>
    <w:rsid w:val="00541BF6"/>
    <w:rsid w:val="00555AE8"/>
    <w:rsid w:val="00557433"/>
    <w:rsid w:val="00564B3A"/>
    <w:rsid w:val="005702C3"/>
    <w:rsid w:val="00571030"/>
    <w:rsid w:val="00574479"/>
    <w:rsid w:val="00575159"/>
    <w:rsid w:val="00575D3A"/>
    <w:rsid w:val="0057606F"/>
    <w:rsid w:val="005827F5"/>
    <w:rsid w:val="005905B0"/>
    <w:rsid w:val="0059083A"/>
    <w:rsid w:val="00597417"/>
    <w:rsid w:val="005B19D7"/>
    <w:rsid w:val="005B47DD"/>
    <w:rsid w:val="005C1D3E"/>
    <w:rsid w:val="005C3532"/>
    <w:rsid w:val="005C5D45"/>
    <w:rsid w:val="005D2E25"/>
    <w:rsid w:val="005D4E77"/>
    <w:rsid w:val="005E2545"/>
    <w:rsid w:val="005E405E"/>
    <w:rsid w:val="005E5A0E"/>
    <w:rsid w:val="005F06F7"/>
    <w:rsid w:val="005F15EA"/>
    <w:rsid w:val="005F1B91"/>
    <w:rsid w:val="00600356"/>
    <w:rsid w:val="0060226A"/>
    <w:rsid w:val="00605BD6"/>
    <w:rsid w:val="00620A4D"/>
    <w:rsid w:val="006261DF"/>
    <w:rsid w:val="006305A0"/>
    <w:rsid w:val="00635EEA"/>
    <w:rsid w:val="0064180B"/>
    <w:rsid w:val="00641E9C"/>
    <w:rsid w:val="00647F99"/>
    <w:rsid w:val="00653D55"/>
    <w:rsid w:val="006554BF"/>
    <w:rsid w:val="00655FE2"/>
    <w:rsid w:val="0066126D"/>
    <w:rsid w:val="00661A63"/>
    <w:rsid w:val="006703D1"/>
    <w:rsid w:val="006705F5"/>
    <w:rsid w:val="00672AD5"/>
    <w:rsid w:val="00680868"/>
    <w:rsid w:val="006905CC"/>
    <w:rsid w:val="00691EC3"/>
    <w:rsid w:val="006942EE"/>
    <w:rsid w:val="006A18F7"/>
    <w:rsid w:val="006B6F74"/>
    <w:rsid w:val="006C4E6F"/>
    <w:rsid w:val="006C5336"/>
    <w:rsid w:val="006C752A"/>
    <w:rsid w:val="006D195E"/>
    <w:rsid w:val="006E09E9"/>
    <w:rsid w:val="006F0BF3"/>
    <w:rsid w:val="006F2BF3"/>
    <w:rsid w:val="006F53F2"/>
    <w:rsid w:val="007023E2"/>
    <w:rsid w:val="0071740B"/>
    <w:rsid w:val="00724DB1"/>
    <w:rsid w:val="00737CBA"/>
    <w:rsid w:val="00744211"/>
    <w:rsid w:val="00747390"/>
    <w:rsid w:val="007570CE"/>
    <w:rsid w:val="00767000"/>
    <w:rsid w:val="00767353"/>
    <w:rsid w:val="00767656"/>
    <w:rsid w:val="00767DF9"/>
    <w:rsid w:val="00772655"/>
    <w:rsid w:val="00772F04"/>
    <w:rsid w:val="00781946"/>
    <w:rsid w:val="00783878"/>
    <w:rsid w:val="00793B3B"/>
    <w:rsid w:val="007A07BD"/>
    <w:rsid w:val="007A093E"/>
    <w:rsid w:val="007C28C2"/>
    <w:rsid w:val="007C6557"/>
    <w:rsid w:val="007C6E93"/>
    <w:rsid w:val="007D08E8"/>
    <w:rsid w:val="007D127A"/>
    <w:rsid w:val="007D3684"/>
    <w:rsid w:val="007D5C68"/>
    <w:rsid w:val="007E0FF0"/>
    <w:rsid w:val="007E55C0"/>
    <w:rsid w:val="007E6063"/>
    <w:rsid w:val="00801A6C"/>
    <w:rsid w:val="00803E7C"/>
    <w:rsid w:val="0081078A"/>
    <w:rsid w:val="00821612"/>
    <w:rsid w:val="00824FA4"/>
    <w:rsid w:val="00825F43"/>
    <w:rsid w:val="0083453A"/>
    <w:rsid w:val="00834D55"/>
    <w:rsid w:val="0084169B"/>
    <w:rsid w:val="00847072"/>
    <w:rsid w:val="00853C4E"/>
    <w:rsid w:val="00863066"/>
    <w:rsid w:val="00880DD3"/>
    <w:rsid w:val="00885345"/>
    <w:rsid w:val="00887857"/>
    <w:rsid w:val="00891D19"/>
    <w:rsid w:val="00892DC7"/>
    <w:rsid w:val="008A1AAD"/>
    <w:rsid w:val="008B2375"/>
    <w:rsid w:val="008B30F1"/>
    <w:rsid w:val="008B5CAB"/>
    <w:rsid w:val="008C157B"/>
    <w:rsid w:val="008C507D"/>
    <w:rsid w:val="008D1525"/>
    <w:rsid w:val="008D3136"/>
    <w:rsid w:val="008E7513"/>
    <w:rsid w:val="008F063C"/>
    <w:rsid w:val="008F30D8"/>
    <w:rsid w:val="00916E90"/>
    <w:rsid w:val="0092083F"/>
    <w:rsid w:val="00923115"/>
    <w:rsid w:val="0095112B"/>
    <w:rsid w:val="00952651"/>
    <w:rsid w:val="00957FE0"/>
    <w:rsid w:val="00965178"/>
    <w:rsid w:val="00967922"/>
    <w:rsid w:val="0097636C"/>
    <w:rsid w:val="00990665"/>
    <w:rsid w:val="00990DA4"/>
    <w:rsid w:val="00991A77"/>
    <w:rsid w:val="00992EFD"/>
    <w:rsid w:val="00996CE4"/>
    <w:rsid w:val="009B21A9"/>
    <w:rsid w:val="009C3CA4"/>
    <w:rsid w:val="009C51EF"/>
    <w:rsid w:val="009C64D8"/>
    <w:rsid w:val="009D4F9B"/>
    <w:rsid w:val="009D6A73"/>
    <w:rsid w:val="009D7E31"/>
    <w:rsid w:val="009E360C"/>
    <w:rsid w:val="009E6608"/>
    <w:rsid w:val="009F28C6"/>
    <w:rsid w:val="009F6ECB"/>
    <w:rsid w:val="00A00B4F"/>
    <w:rsid w:val="00A01E63"/>
    <w:rsid w:val="00A052EE"/>
    <w:rsid w:val="00A06311"/>
    <w:rsid w:val="00A12462"/>
    <w:rsid w:val="00A16ECC"/>
    <w:rsid w:val="00A32326"/>
    <w:rsid w:val="00A3610A"/>
    <w:rsid w:val="00A363B6"/>
    <w:rsid w:val="00A40800"/>
    <w:rsid w:val="00A41837"/>
    <w:rsid w:val="00A443C6"/>
    <w:rsid w:val="00A460E2"/>
    <w:rsid w:val="00A53465"/>
    <w:rsid w:val="00A70F44"/>
    <w:rsid w:val="00A73FDB"/>
    <w:rsid w:val="00A74A08"/>
    <w:rsid w:val="00A840FC"/>
    <w:rsid w:val="00A86473"/>
    <w:rsid w:val="00A909ED"/>
    <w:rsid w:val="00A9332F"/>
    <w:rsid w:val="00A977D7"/>
    <w:rsid w:val="00AA3079"/>
    <w:rsid w:val="00AA7CE7"/>
    <w:rsid w:val="00AB51C2"/>
    <w:rsid w:val="00AC2C89"/>
    <w:rsid w:val="00AC3080"/>
    <w:rsid w:val="00AD1176"/>
    <w:rsid w:val="00AF53C9"/>
    <w:rsid w:val="00B00F5A"/>
    <w:rsid w:val="00B03586"/>
    <w:rsid w:val="00B04447"/>
    <w:rsid w:val="00B160F7"/>
    <w:rsid w:val="00B17DF9"/>
    <w:rsid w:val="00B30192"/>
    <w:rsid w:val="00B30E35"/>
    <w:rsid w:val="00B4242A"/>
    <w:rsid w:val="00B459A2"/>
    <w:rsid w:val="00B51308"/>
    <w:rsid w:val="00B60C42"/>
    <w:rsid w:val="00B71090"/>
    <w:rsid w:val="00B745A9"/>
    <w:rsid w:val="00B75818"/>
    <w:rsid w:val="00B86964"/>
    <w:rsid w:val="00B91D0A"/>
    <w:rsid w:val="00B979D0"/>
    <w:rsid w:val="00BA359B"/>
    <w:rsid w:val="00BA4AFC"/>
    <w:rsid w:val="00BA7668"/>
    <w:rsid w:val="00BC4EB2"/>
    <w:rsid w:val="00BC4EF2"/>
    <w:rsid w:val="00BC6485"/>
    <w:rsid w:val="00BD4D7F"/>
    <w:rsid w:val="00BE3D54"/>
    <w:rsid w:val="00BF12A0"/>
    <w:rsid w:val="00BF7FAC"/>
    <w:rsid w:val="00C03ECC"/>
    <w:rsid w:val="00C176AE"/>
    <w:rsid w:val="00C17D1A"/>
    <w:rsid w:val="00C305C6"/>
    <w:rsid w:val="00C4749E"/>
    <w:rsid w:val="00C55092"/>
    <w:rsid w:val="00C64F2A"/>
    <w:rsid w:val="00C66F9D"/>
    <w:rsid w:val="00C7551E"/>
    <w:rsid w:val="00C8364A"/>
    <w:rsid w:val="00C83945"/>
    <w:rsid w:val="00C906AA"/>
    <w:rsid w:val="00C97656"/>
    <w:rsid w:val="00CA4289"/>
    <w:rsid w:val="00CA4A27"/>
    <w:rsid w:val="00CB2B19"/>
    <w:rsid w:val="00CC0221"/>
    <w:rsid w:val="00CC1021"/>
    <w:rsid w:val="00CC1B8A"/>
    <w:rsid w:val="00CC4841"/>
    <w:rsid w:val="00CF4290"/>
    <w:rsid w:val="00CF4743"/>
    <w:rsid w:val="00CF475C"/>
    <w:rsid w:val="00CF786F"/>
    <w:rsid w:val="00D026BC"/>
    <w:rsid w:val="00D03959"/>
    <w:rsid w:val="00D107DB"/>
    <w:rsid w:val="00D132AD"/>
    <w:rsid w:val="00D157AF"/>
    <w:rsid w:val="00D27372"/>
    <w:rsid w:val="00D33DF2"/>
    <w:rsid w:val="00D412CD"/>
    <w:rsid w:val="00D42B31"/>
    <w:rsid w:val="00D46A6C"/>
    <w:rsid w:val="00D511C5"/>
    <w:rsid w:val="00D52957"/>
    <w:rsid w:val="00D621A5"/>
    <w:rsid w:val="00D64401"/>
    <w:rsid w:val="00D6722D"/>
    <w:rsid w:val="00D70FD4"/>
    <w:rsid w:val="00D7376E"/>
    <w:rsid w:val="00D746B2"/>
    <w:rsid w:val="00D77E32"/>
    <w:rsid w:val="00D973C3"/>
    <w:rsid w:val="00DA577C"/>
    <w:rsid w:val="00DB2E66"/>
    <w:rsid w:val="00DC6F76"/>
    <w:rsid w:val="00DD017B"/>
    <w:rsid w:val="00DD0382"/>
    <w:rsid w:val="00DD2B35"/>
    <w:rsid w:val="00DF3AC8"/>
    <w:rsid w:val="00DF4E78"/>
    <w:rsid w:val="00E00C77"/>
    <w:rsid w:val="00E05EC4"/>
    <w:rsid w:val="00E05FAB"/>
    <w:rsid w:val="00E21839"/>
    <w:rsid w:val="00E628AF"/>
    <w:rsid w:val="00E62EAF"/>
    <w:rsid w:val="00E70A8F"/>
    <w:rsid w:val="00E71638"/>
    <w:rsid w:val="00E85879"/>
    <w:rsid w:val="00E92BAC"/>
    <w:rsid w:val="00EA5489"/>
    <w:rsid w:val="00EB16AD"/>
    <w:rsid w:val="00EB46A6"/>
    <w:rsid w:val="00EC03DA"/>
    <w:rsid w:val="00EC09C9"/>
    <w:rsid w:val="00EC1B96"/>
    <w:rsid w:val="00EC4B74"/>
    <w:rsid w:val="00ED39BC"/>
    <w:rsid w:val="00EE30A9"/>
    <w:rsid w:val="00F04765"/>
    <w:rsid w:val="00F07141"/>
    <w:rsid w:val="00F245EE"/>
    <w:rsid w:val="00F35AF0"/>
    <w:rsid w:val="00F419AE"/>
    <w:rsid w:val="00F50356"/>
    <w:rsid w:val="00F55A62"/>
    <w:rsid w:val="00F55E7B"/>
    <w:rsid w:val="00F703DA"/>
    <w:rsid w:val="00F7420E"/>
    <w:rsid w:val="00F80CB8"/>
    <w:rsid w:val="00F84415"/>
    <w:rsid w:val="00F90366"/>
    <w:rsid w:val="00F903B1"/>
    <w:rsid w:val="00F92CBD"/>
    <w:rsid w:val="00FA5186"/>
    <w:rsid w:val="00FA6420"/>
    <w:rsid w:val="00FC226A"/>
    <w:rsid w:val="00FC5C2D"/>
    <w:rsid w:val="00FC6306"/>
    <w:rsid w:val="00FD4D21"/>
    <w:rsid w:val="00FF4EE2"/>
    <w:rsid w:val="00FF62BE"/>
    <w:rsid w:val="00FF71F4"/>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0D75"/>
  <w15:chartTrackingRefBased/>
  <w15:docId w15:val="{A36B5434-C665-4EAE-B0F8-2E02379A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11"/>
    <w:pPr>
      <w:spacing w:line="256" w:lineRule="auto"/>
    </w:pPr>
  </w:style>
  <w:style w:type="paragraph" w:styleId="Heading1">
    <w:name w:val="heading 1"/>
    <w:basedOn w:val="Normal"/>
    <w:next w:val="Normal"/>
    <w:link w:val="Heading1Char"/>
    <w:uiPriority w:val="9"/>
    <w:qFormat/>
    <w:rsid w:val="00B17DF9"/>
    <w:pPr>
      <w:keepNext/>
      <w:keepLines/>
      <w:spacing w:before="240" w:after="0"/>
      <w:outlineLvl w:val="0"/>
    </w:pPr>
    <w:rPr>
      <w:rFonts w:asciiTheme="majorHAnsi" w:eastAsiaTheme="majorEastAsia" w:hAnsiTheme="majorHAnsi" w:cstheme="majorBidi"/>
      <w:color w:val="860C13" w:themeColor="accent1" w:themeShade="BF"/>
      <w:sz w:val="32"/>
      <w:szCs w:val="32"/>
    </w:rPr>
  </w:style>
  <w:style w:type="paragraph" w:styleId="Heading2">
    <w:name w:val="heading 2"/>
    <w:basedOn w:val="Normal"/>
    <w:next w:val="Normal"/>
    <w:link w:val="Heading2Char"/>
    <w:uiPriority w:val="9"/>
    <w:semiHidden/>
    <w:unhideWhenUsed/>
    <w:qFormat/>
    <w:rsid w:val="00B17DF9"/>
    <w:pPr>
      <w:keepNext/>
      <w:keepLines/>
      <w:spacing w:before="40" w:after="0"/>
      <w:outlineLvl w:val="1"/>
    </w:pPr>
    <w:rPr>
      <w:rFonts w:asciiTheme="majorHAnsi" w:eastAsiaTheme="majorEastAsia" w:hAnsiTheme="majorHAnsi" w:cstheme="majorBidi"/>
      <w:color w:val="860C13" w:themeColor="accent1" w:themeShade="BF"/>
      <w:sz w:val="26"/>
      <w:szCs w:val="26"/>
    </w:rPr>
  </w:style>
  <w:style w:type="paragraph" w:styleId="Heading3">
    <w:name w:val="heading 3"/>
    <w:basedOn w:val="Normal"/>
    <w:next w:val="Normal"/>
    <w:link w:val="Heading3Char"/>
    <w:uiPriority w:val="9"/>
    <w:semiHidden/>
    <w:unhideWhenUsed/>
    <w:qFormat/>
    <w:rsid w:val="00B17DF9"/>
    <w:pPr>
      <w:keepNext/>
      <w:keepLines/>
      <w:spacing w:before="40" w:after="0"/>
      <w:outlineLvl w:val="2"/>
    </w:pPr>
    <w:rPr>
      <w:rFonts w:asciiTheme="majorHAnsi" w:eastAsiaTheme="majorEastAsia" w:hAnsiTheme="majorHAnsi" w:cstheme="majorBidi"/>
      <w:color w:val="59080C" w:themeColor="accent1" w:themeShade="7F"/>
      <w:sz w:val="24"/>
      <w:szCs w:val="24"/>
    </w:rPr>
  </w:style>
  <w:style w:type="paragraph" w:styleId="Heading5">
    <w:name w:val="heading 5"/>
    <w:basedOn w:val="Normal"/>
    <w:next w:val="Normal"/>
    <w:link w:val="Heading5Char"/>
    <w:uiPriority w:val="9"/>
    <w:semiHidden/>
    <w:unhideWhenUsed/>
    <w:qFormat/>
    <w:rsid w:val="00672AD5"/>
    <w:pPr>
      <w:keepNext/>
      <w:keepLines/>
      <w:spacing w:before="40" w:after="0" w:line="259" w:lineRule="auto"/>
      <w:outlineLvl w:val="4"/>
    </w:pPr>
    <w:rPr>
      <w:rFonts w:asciiTheme="majorHAnsi" w:eastAsiaTheme="majorEastAsia" w:hAnsiTheme="majorHAnsi" w:cstheme="majorBidi"/>
      <w:color w:val="860C13"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paragraph" w:customStyle="1" w:styleId="MH1">
    <w:name w:val="MH1"/>
    <w:basedOn w:val="Normal"/>
    <w:qFormat/>
    <w:rsid w:val="005C1D3E"/>
    <w:pPr>
      <w:widowControl w:val="0"/>
      <w:spacing w:before="480" w:after="240" w:line="240" w:lineRule="auto"/>
      <w:outlineLvl w:val="0"/>
    </w:pPr>
    <w:rPr>
      <w:rFonts w:ascii="Calibri" w:eastAsia="Calibri" w:hAnsi="Calibri" w:cs="Arial"/>
      <w:b/>
      <w:caps/>
      <w:kern w:val="0"/>
      <w:sz w:val="48"/>
      <w:szCs w:val="44"/>
      <w:lang w:val="en-ZA"/>
      <w14:ligatures w14:val="none"/>
    </w:rPr>
  </w:style>
  <w:style w:type="paragraph" w:customStyle="1" w:styleId="H2">
    <w:name w:val="H2"/>
    <w:basedOn w:val="Normal"/>
    <w:qFormat/>
    <w:rsid w:val="00DC6F76"/>
    <w:pPr>
      <w:keepNext/>
      <w:keepLines/>
      <w:widowControl w:val="0"/>
      <w:spacing w:before="240" w:after="200" w:line="276" w:lineRule="auto"/>
      <w:ind w:left="794" w:hanging="85"/>
      <w:jc w:val="both"/>
    </w:pPr>
    <w:rPr>
      <w:rFonts w:ascii="Calibri" w:eastAsia="Calibri" w:hAnsi="Calibri" w:cs="Arial"/>
      <w:b/>
      <w:i/>
      <w:kern w:val="0"/>
      <w:sz w:val="28"/>
      <w:lang w:val="en-ZA"/>
      <w14:ligatures w14:val="none"/>
    </w:rPr>
  </w:style>
  <w:style w:type="paragraph" w:customStyle="1" w:styleId="h20">
    <w:name w:val="h2"/>
    <w:basedOn w:val="ListParagraph"/>
    <w:qFormat/>
    <w:rsid w:val="00A06311"/>
    <w:pPr>
      <w:keepNext/>
      <w:keepLines/>
      <w:widowControl w:val="0"/>
      <w:spacing w:before="360" w:after="120" w:line="480" w:lineRule="auto"/>
      <w:ind w:left="360"/>
      <w:contextualSpacing w:val="0"/>
      <w:jc w:val="both"/>
      <w:outlineLvl w:val="0"/>
    </w:pPr>
    <w:rPr>
      <w:rFonts w:ascii="Calibri" w:eastAsia="Calibri" w:hAnsi="Calibri" w:cs="Arial"/>
      <w:b/>
      <w:kern w:val="0"/>
      <w:sz w:val="28"/>
      <w:lang w:val="en-ZA"/>
      <w14:ligatures w14:val="none"/>
    </w:rPr>
  </w:style>
  <w:style w:type="paragraph" w:styleId="ListParagraph">
    <w:name w:val="List Paragraph"/>
    <w:aliases w:val="Riana Table Bullets 1,Indent Paragraph,List Paragraph 1,Standard Paragraph,3.1,Grey Bullet List,Grey Bullet Style,Dot pt,F5 List Paragraph,List Paragraph1,List Paragraph Char Char Char,Indicator Text,Numbered Para 1,Bullet 1,Bullet Points"/>
    <w:basedOn w:val="Normal"/>
    <w:link w:val="ListParagraphChar"/>
    <w:uiPriority w:val="34"/>
    <w:qFormat/>
    <w:rsid w:val="00DC6F76"/>
    <w:pPr>
      <w:ind w:left="720"/>
      <w:contextualSpacing/>
    </w:pPr>
  </w:style>
  <w:style w:type="paragraph" w:customStyle="1" w:styleId="MChapterName">
    <w:name w:val="MChapterName"/>
    <w:basedOn w:val="Normal"/>
    <w:qFormat/>
    <w:rsid w:val="0081078A"/>
    <w:pPr>
      <w:spacing w:after="360" w:line="540" w:lineRule="exact"/>
    </w:pPr>
    <w:rPr>
      <w:rFonts w:asciiTheme="majorHAnsi" w:hAnsiTheme="majorHAnsi"/>
      <w:b/>
      <w:caps/>
      <w:color w:val="B4111A" w:themeColor="accent1"/>
      <w:sz w:val="56"/>
      <w:szCs w:val="52"/>
    </w:rPr>
  </w:style>
  <w:style w:type="paragraph" w:customStyle="1" w:styleId="H221">
    <w:name w:val="H221"/>
    <w:basedOn w:val="h20"/>
    <w:qFormat/>
    <w:rsid w:val="00DC6F76"/>
    <w:pPr>
      <w:keepNext w:val="0"/>
      <w:keepLines w:val="0"/>
      <w:numPr>
        <w:ilvl w:val="2"/>
      </w:numPr>
      <w:spacing w:before="120" w:line="288" w:lineRule="auto"/>
      <w:ind w:left="360"/>
    </w:pPr>
    <w:rPr>
      <w:b w:val="0"/>
      <w:sz w:val="22"/>
    </w:rPr>
  </w:style>
  <w:style w:type="paragraph" w:customStyle="1" w:styleId="H3">
    <w:name w:val="H3"/>
    <w:basedOn w:val="H2"/>
    <w:qFormat/>
    <w:rsid w:val="00DC6F76"/>
    <w:rPr>
      <w:sz w:val="26"/>
    </w:rPr>
  </w:style>
  <w:style w:type="paragraph" w:customStyle="1" w:styleId="H4">
    <w:name w:val="H4"/>
    <w:basedOn w:val="H3"/>
    <w:qFormat/>
    <w:rsid w:val="00DC6F76"/>
    <w:pPr>
      <w:keepLines w:val="0"/>
      <w:ind w:left="0" w:firstLine="0"/>
    </w:pPr>
    <w:rPr>
      <w:b w:val="0"/>
    </w:rPr>
  </w:style>
  <w:style w:type="paragraph" w:customStyle="1" w:styleId="H51">
    <w:name w:val="H51"/>
    <w:basedOn w:val="ListParagraph"/>
    <w:qFormat/>
    <w:rsid w:val="00DC6F76"/>
    <w:pPr>
      <w:widowControl w:val="0"/>
      <w:spacing w:before="240" w:after="200" w:line="276" w:lineRule="auto"/>
      <w:ind w:left="0"/>
      <w:contextualSpacing w:val="0"/>
      <w:jc w:val="both"/>
    </w:pPr>
    <w:rPr>
      <w:rFonts w:ascii="Calibri" w:hAnsi="Calibri" w:cs="Arial"/>
      <w:b/>
      <w:kern w:val="0"/>
      <w:sz w:val="28"/>
      <w:lang w:val="en-ZA"/>
      <w14:ligatures w14:val="none"/>
    </w:rPr>
  </w:style>
  <w:style w:type="paragraph" w:customStyle="1" w:styleId="MChapterNumber">
    <w:name w:val="MChapterNumber"/>
    <w:basedOn w:val="MChapterName"/>
    <w:qFormat/>
    <w:rsid w:val="004908AC"/>
    <w:pPr>
      <w:jc w:val="right"/>
    </w:pPr>
    <w:rPr>
      <w:color w:val="939598" w:themeColor="text2"/>
    </w:rPr>
  </w:style>
  <w:style w:type="paragraph" w:customStyle="1" w:styleId="MH2">
    <w:name w:val="MH2"/>
    <w:basedOn w:val="MH1"/>
    <w:qFormat/>
    <w:rsid w:val="005C1D3E"/>
    <w:rPr>
      <w:rFonts w:asciiTheme="minorHAnsi" w:hAnsiTheme="minorHAnsi"/>
      <w:sz w:val="40"/>
      <w:szCs w:val="36"/>
    </w:rPr>
  </w:style>
  <w:style w:type="paragraph" w:customStyle="1" w:styleId="MH3">
    <w:name w:val="MH3"/>
    <w:basedOn w:val="MH2"/>
    <w:qFormat/>
    <w:rsid w:val="00B04447"/>
    <w:pPr>
      <w:tabs>
        <w:tab w:val="left" w:pos="567"/>
      </w:tabs>
      <w:spacing w:before="360" w:after="120"/>
    </w:pPr>
    <w:rPr>
      <w:color w:val="000000" w:themeColor="text1"/>
      <w:sz w:val="32"/>
      <w:szCs w:val="28"/>
    </w:rPr>
  </w:style>
  <w:style w:type="paragraph" w:customStyle="1" w:styleId="MH4">
    <w:name w:val="MH4"/>
    <w:basedOn w:val="MH3"/>
    <w:qFormat/>
    <w:rsid w:val="00672AD5"/>
    <w:pPr>
      <w:keepNext/>
      <w:keepLines/>
      <w:numPr>
        <w:numId w:val="5"/>
      </w:numPr>
      <w:tabs>
        <w:tab w:val="clear" w:pos="567"/>
      </w:tabs>
      <w:spacing w:before="240"/>
    </w:pPr>
    <w:rPr>
      <w:color w:val="B4111A" w:themeColor="accent1"/>
      <w:sz w:val="28"/>
      <w:szCs w:val="24"/>
    </w:rPr>
  </w:style>
  <w:style w:type="paragraph" w:customStyle="1" w:styleId="MH5">
    <w:name w:val="MH5"/>
    <w:basedOn w:val="MH4"/>
    <w:qFormat/>
    <w:rsid w:val="00672AD5"/>
    <w:pPr>
      <w:numPr>
        <w:ilvl w:val="1"/>
      </w:numPr>
    </w:pPr>
    <w:rPr>
      <w:bCs/>
      <w:caps w:val="0"/>
      <w:color w:val="000000" w:themeColor="text1"/>
      <w:sz w:val="26"/>
    </w:rPr>
  </w:style>
  <w:style w:type="paragraph" w:customStyle="1" w:styleId="MTableHead">
    <w:name w:val="MTableHead"/>
    <w:basedOn w:val="Normal"/>
    <w:qFormat/>
    <w:rsid w:val="001B6773"/>
    <w:pPr>
      <w:keepNext/>
      <w:spacing w:before="360" w:after="240" w:line="240" w:lineRule="auto"/>
    </w:pPr>
    <w:rPr>
      <w:rFonts w:ascii="Calibri" w:hAnsi="Calibri"/>
      <w:b/>
      <w:sz w:val="18"/>
    </w:rPr>
  </w:style>
  <w:style w:type="paragraph" w:customStyle="1" w:styleId="MGraphHead">
    <w:name w:val="MGraphHead"/>
    <w:basedOn w:val="MTableHead"/>
    <w:qFormat/>
    <w:rsid w:val="00DD2B35"/>
    <w:rPr>
      <w:color w:val="000000" w:themeColor="text1"/>
    </w:rPr>
  </w:style>
  <w:style w:type="paragraph" w:customStyle="1" w:styleId="MTable">
    <w:name w:val="MTable"/>
    <w:aliases w:val="text"/>
    <w:basedOn w:val="Normal"/>
    <w:qFormat/>
    <w:rsid w:val="00CC4841"/>
    <w:pPr>
      <w:spacing w:after="0" w:line="240" w:lineRule="auto"/>
    </w:pPr>
    <w:rPr>
      <w:sz w:val="20"/>
      <w:szCs w:val="20"/>
    </w:rPr>
  </w:style>
  <w:style w:type="paragraph" w:styleId="Header">
    <w:name w:val="header"/>
    <w:aliases w:val="Message"/>
    <w:basedOn w:val="Normal"/>
    <w:link w:val="HeaderChar"/>
    <w:uiPriority w:val="99"/>
    <w:unhideWhenUsed/>
    <w:rsid w:val="00B30E35"/>
    <w:pPr>
      <w:pBdr>
        <w:bottom w:val="single" w:sz="4" w:space="1" w:color="B4111A" w:themeColor="accent1"/>
      </w:pBdr>
      <w:tabs>
        <w:tab w:val="center" w:pos="4680"/>
        <w:tab w:val="right" w:pos="9360"/>
      </w:tabs>
      <w:spacing w:after="0" w:line="240" w:lineRule="auto"/>
      <w:jc w:val="right"/>
    </w:pPr>
    <w:rPr>
      <w:rFonts w:ascii="Calibri" w:hAnsi="Calibri"/>
      <w:caps/>
      <w:sz w:val="18"/>
      <w:szCs w:val="18"/>
    </w:rPr>
  </w:style>
  <w:style w:type="character" w:customStyle="1" w:styleId="HeaderChar">
    <w:name w:val="Header Char"/>
    <w:aliases w:val="Message Char"/>
    <w:basedOn w:val="DefaultParagraphFont"/>
    <w:link w:val="Header"/>
    <w:uiPriority w:val="99"/>
    <w:rsid w:val="00B30E35"/>
    <w:rPr>
      <w:rFonts w:ascii="Calibri" w:hAnsi="Calibri"/>
      <w:caps/>
      <w:sz w:val="18"/>
      <w:szCs w:val="18"/>
    </w:rPr>
  </w:style>
  <w:style w:type="paragraph" w:styleId="Footer">
    <w:name w:val="footer"/>
    <w:basedOn w:val="Normal"/>
    <w:link w:val="FooterChar"/>
    <w:uiPriority w:val="99"/>
    <w:unhideWhenUsed/>
    <w:rsid w:val="00D6722D"/>
    <w:pPr>
      <w:tabs>
        <w:tab w:val="center" w:pos="4680"/>
        <w:tab w:val="right" w:pos="9360"/>
      </w:tabs>
      <w:spacing w:after="0" w:line="240" w:lineRule="auto"/>
      <w:jc w:val="right"/>
    </w:pPr>
    <w:rPr>
      <w:sz w:val="20"/>
      <w:szCs w:val="20"/>
    </w:rPr>
  </w:style>
  <w:style w:type="character" w:customStyle="1" w:styleId="FooterChar">
    <w:name w:val="Footer Char"/>
    <w:basedOn w:val="DefaultParagraphFont"/>
    <w:link w:val="Footer"/>
    <w:uiPriority w:val="99"/>
    <w:rsid w:val="00D6722D"/>
    <w:rPr>
      <w:sz w:val="20"/>
      <w:szCs w:val="20"/>
    </w:rPr>
  </w:style>
  <w:style w:type="paragraph" w:customStyle="1" w:styleId="MPageFootnote">
    <w:name w:val="MPageFootnote"/>
    <w:basedOn w:val="Normal"/>
    <w:qFormat/>
    <w:rsid w:val="00600356"/>
    <w:pPr>
      <w:spacing w:after="0" w:line="264" w:lineRule="auto"/>
      <w:ind w:left="284" w:hanging="284"/>
    </w:pPr>
    <w:rPr>
      <w:i/>
      <w:sz w:val="18"/>
      <w:szCs w:val="20"/>
    </w:rPr>
  </w:style>
  <w:style w:type="paragraph" w:customStyle="1" w:styleId="MTableFootnote">
    <w:name w:val="MTableFootnote"/>
    <w:basedOn w:val="Normal"/>
    <w:qFormat/>
    <w:rsid w:val="00DD2B35"/>
    <w:pPr>
      <w:spacing w:before="120" w:after="240" w:line="240" w:lineRule="auto"/>
      <w:jc w:val="both"/>
    </w:pPr>
    <w:rPr>
      <w:i/>
      <w:iCs/>
      <w:sz w:val="18"/>
      <w:szCs w:val="18"/>
    </w:rPr>
  </w:style>
  <w:style w:type="paragraph" w:customStyle="1" w:styleId="MParagraph">
    <w:name w:val="MParagraph"/>
    <w:basedOn w:val="Normal"/>
    <w:qFormat/>
    <w:rsid w:val="00D46A6C"/>
    <w:pPr>
      <w:spacing w:before="160" w:line="360" w:lineRule="auto"/>
      <w:ind w:left="851"/>
      <w:jc w:val="both"/>
    </w:pPr>
  </w:style>
  <w:style w:type="paragraph" w:customStyle="1" w:styleId="MBullet">
    <w:name w:val="MBullet"/>
    <w:basedOn w:val="MParagraph"/>
    <w:qFormat/>
    <w:rsid w:val="00F80CB8"/>
    <w:pPr>
      <w:numPr>
        <w:numId w:val="1"/>
      </w:numPr>
      <w:spacing w:before="60" w:after="60" w:line="312" w:lineRule="auto"/>
      <w:ind w:left="1135" w:hanging="284"/>
    </w:pPr>
  </w:style>
  <w:style w:type="paragraph" w:customStyle="1" w:styleId="MSublist">
    <w:name w:val="MSublist"/>
    <w:basedOn w:val="MBullet"/>
    <w:qFormat/>
    <w:rsid w:val="00D77E32"/>
    <w:pPr>
      <w:numPr>
        <w:numId w:val="2"/>
      </w:numPr>
      <w:ind w:left="1559" w:hanging="425"/>
    </w:pPr>
  </w:style>
  <w:style w:type="paragraph" w:customStyle="1" w:styleId="MColumnHeading">
    <w:name w:val="MColumnHeading"/>
    <w:basedOn w:val="MTable"/>
    <w:qFormat/>
    <w:rsid w:val="004F42F1"/>
    <w:rPr>
      <w:b/>
      <w:bCs/>
      <w:caps/>
      <w:color w:val="FFFFFF" w:themeColor="background1"/>
    </w:rPr>
  </w:style>
  <w:style w:type="character" w:styleId="CommentReference">
    <w:name w:val="annotation reference"/>
    <w:basedOn w:val="DefaultParagraphFont"/>
    <w:uiPriority w:val="99"/>
    <w:semiHidden/>
    <w:unhideWhenUsed/>
    <w:rsid w:val="00FC5C2D"/>
    <w:rPr>
      <w:sz w:val="16"/>
      <w:szCs w:val="16"/>
    </w:rPr>
  </w:style>
  <w:style w:type="paragraph" w:styleId="CommentText">
    <w:name w:val="annotation text"/>
    <w:basedOn w:val="Normal"/>
    <w:link w:val="CommentTextChar"/>
    <w:uiPriority w:val="99"/>
    <w:unhideWhenUsed/>
    <w:rsid w:val="00FC5C2D"/>
    <w:pPr>
      <w:spacing w:line="240" w:lineRule="auto"/>
    </w:pPr>
    <w:rPr>
      <w:sz w:val="20"/>
      <w:szCs w:val="20"/>
    </w:rPr>
  </w:style>
  <w:style w:type="character" w:customStyle="1" w:styleId="CommentTextChar">
    <w:name w:val="Comment Text Char"/>
    <w:basedOn w:val="DefaultParagraphFont"/>
    <w:link w:val="CommentText"/>
    <w:uiPriority w:val="99"/>
    <w:rsid w:val="00FC5C2D"/>
    <w:rPr>
      <w:sz w:val="20"/>
      <w:szCs w:val="20"/>
    </w:rPr>
  </w:style>
  <w:style w:type="paragraph" w:styleId="CommentSubject">
    <w:name w:val="annotation subject"/>
    <w:basedOn w:val="CommentText"/>
    <w:next w:val="CommentText"/>
    <w:link w:val="CommentSubjectChar"/>
    <w:uiPriority w:val="99"/>
    <w:semiHidden/>
    <w:unhideWhenUsed/>
    <w:rsid w:val="00FC5C2D"/>
    <w:rPr>
      <w:b/>
      <w:bCs/>
    </w:rPr>
  </w:style>
  <w:style w:type="character" w:customStyle="1" w:styleId="CommentSubjectChar">
    <w:name w:val="Comment Subject Char"/>
    <w:basedOn w:val="CommentTextChar"/>
    <w:link w:val="CommentSubject"/>
    <w:uiPriority w:val="99"/>
    <w:semiHidden/>
    <w:rsid w:val="00FC5C2D"/>
    <w:rPr>
      <w:b/>
      <w:bCs/>
      <w:sz w:val="20"/>
      <w:szCs w:val="20"/>
    </w:rPr>
  </w:style>
  <w:style w:type="paragraph" w:styleId="FootnoteText">
    <w:name w:val="footnote text"/>
    <w:basedOn w:val="Normal"/>
    <w:link w:val="FootnoteTextChar"/>
    <w:uiPriority w:val="99"/>
    <w:semiHidden/>
    <w:unhideWhenUsed/>
    <w:rsid w:val="00263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747"/>
    <w:rPr>
      <w:sz w:val="20"/>
      <w:szCs w:val="20"/>
    </w:rPr>
  </w:style>
  <w:style w:type="character" w:styleId="FootnoteReference">
    <w:name w:val="footnote reference"/>
    <w:basedOn w:val="DefaultParagraphFont"/>
    <w:uiPriority w:val="99"/>
    <w:semiHidden/>
    <w:unhideWhenUsed/>
    <w:rsid w:val="00263747"/>
    <w:rPr>
      <w:vertAlign w:val="superscript"/>
    </w:rPr>
  </w:style>
  <w:style w:type="paragraph" w:customStyle="1" w:styleId="MBoxHeading">
    <w:name w:val="MBoxHeading"/>
    <w:qFormat/>
    <w:rsid w:val="007C28C2"/>
    <w:pPr>
      <w:spacing w:before="120" w:after="120" w:line="240" w:lineRule="auto"/>
      <w:ind w:left="57" w:right="57"/>
    </w:pPr>
    <w:rPr>
      <w:b/>
      <w:bCs/>
      <w:caps/>
    </w:rPr>
  </w:style>
  <w:style w:type="paragraph" w:customStyle="1" w:styleId="MBoxText">
    <w:name w:val="MBoxText"/>
    <w:qFormat/>
    <w:rsid w:val="00605BD6"/>
    <w:pPr>
      <w:spacing w:after="120" w:line="240" w:lineRule="auto"/>
      <w:ind w:left="57" w:right="57"/>
    </w:pPr>
    <w:rPr>
      <w:bCs/>
      <w:sz w:val="20"/>
    </w:rPr>
  </w:style>
  <w:style w:type="paragraph" w:customStyle="1" w:styleId="MBoxBullet">
    <w:name w:val="MBoxBullet"/>
    <w:qFormat/>
    <w:rsid w:val="00605BD6"/>
    <w:pPr>
      <w:numPr>
        <w:numId w:val="3"/>
      </w:numPr>
      <w:spacing w:after="120" w:line="240" w:lineRule="auto"/>
      <w:ind w:left="341" w:right="57" w:hanging="284"/>
      <w:jc w:val="both"/>
    </w:pPr>
    <w:rPr>
      <w:bCs/>
      <w:sz w:val="20"/>
    </w:rPr>
  </w:style>
  <w:style w:type="paragraph" w:customStyle="1" w:styleId="MBoxList">
    <w:name w:val="MBoxList"/>
    <w:qFormat/>
    <w:rsid w:val="00605BD6"/>
    <w:pPr>
      <w:numPr>
        <w:numId w:val="4"/>
      </w:numPr>
      <w:spacing w:after="120" w:line="240" w:lineRule="auto"/>
      <w:ind w:left="607" w:right="57" w:hanging="284"/>
      <w:jc w:val="both"/>
    </w:pPr>
    <w:rPr>
      <w:bCs/>
      <w:sz w:val="20"/>
    </w:rPr>
  </w:style>
  <w:style w:type="character" w:styleId="Hyperlink">
    <w:name w:val="Hyperlink"/>
    <w:uiPriority w:val="99"/>
    <w:unhideWhenUsed/>
    <w:rsid w:val="0033073F"/>
    <w:rPr>
      <w:color w:val="0000FF"/>
      <w:u w:val="single"/>
    </w:rPr>
  </w:style>
  <w:style w:type="character" w:customStyle="1" w:styleId="ListParagraphChar">
    <w:name w:val="List Paragraph Char"/>
    <w:aliases w:val="Riana Table Bullets 1 Char,Indent Paragraph Char,List Paragraph 1 Char,Standard Paragraph Char,3.1 Char,Grey Bullet List Char,Grey Bullet Style Char,Dot pt Char,F5 List Paragraph Char,List Paragraph1 Char,Indicator Text Char"/>
    <w:link w:val="ListParagraph"/>
    <w:uiPriority w:val="34"/>
    <w:qFormat/>
    <w:locked/>
    <w:rsid w:val="0033073F"/>
  </w:style>
  <w:style w:type="character" w:customStyle="1" w:styleId="issue-underline">
    <w:name w:val="issue-underline"/>
    <w:basedOn w:val="DefaultParagraphFont"/>
    <w:rsid w:val="0033073F"/>
  </w:style>
  <w:style w:type="paragraph" w:customStyle="1" w:styleId="HeaderMessage">
    <w:name w:val="Header Message"/>
    <w:basedOn w:val="Normal"/>
    <w:link w:val="HeaderMessageChar"/>
    <w:uiPriority w:val="99"/>
    <w:semiHidden/>
    <w:unhideWhenUsed/>
    <w:rsid w:val="008F30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HeaderMessageChar">
    <w:name w:val="Header Message Char"/>
    <w:basedOn w:val="DefaultParagraphFont"/>
    <w:link w:val="HeaderMessage"/>
    <w:uiPriority w:val="99"/>
    <w:semiHidden/>
    <w:rsid w:val="008F30D8"/>
    <w:rPr>
      <w:rFonts w:asciiTheme="majorHAnsi" w:eastAsiaTheme="majorEastAsia" w:hAnsiTheme="majorHAnsi" w:cstheme="majorBidi"/>
      <w:sz w:val="24"/>
      <w:szCs w:val="24"/>
      <w:shd w:val="pct20" w:color="auto" w:fill="auto"/>
    </w:rPr>
  </w:style>
  <w:style w:type="paragraph" w:customStyle="1" w:styleId="MH6">
    <w:name w:val="MH6"/>
    <w:basedOn w:val="MH5"/>
    <w:qFormat/>
    <w:rsid w:val="00092DE3"/>
    <w:pPr>
      <w:numPr>
        <w:ilvl w:val="2"/>
      </w:numPr>
    </w:pPr>
    <w:rPr>
      <w:color w:val="auto"/>
      <w:sz w:val="24"/>
    </w:rPr>
  </w:style>
  <w:style w:type="paragraph" w:customStyle="1" w:styleId="ParRed">
    <w:name w:val="ParRed"/>
    <w:basedOn w:val="MParagraph"/>
    <w:qFormat/>
    <w:rsid w:val="003B0EDE"/>
    <w:pPr>
      <w:ind w:left="0"/>
    </w:pPr>
    <w:rPr>
      <w:b/>
      <w:bCs/>
      <w:color w:val="B4111A" w:themeColor="accent1"/>
    </w:rPr>
  </w:style>
  <w:style w:type="paragraph" w:styleId="Revision">
    <w:name w:val="Revision"/>
    <w:hidden/>
    <w:uiPriority w:val="99"/>
    <w:semiHidden/>
    <w:rsid w:val="00C64F2A"/>
    <w:pPr>
      <w:spacing w:after="0" w:line="240" w:lineRule="auto"/>
    </w:pPr>
  </w:style>
  <w:style w:type="character" w:customStyle="1" w:styleId="Heading1Char">
    <w:name w:val="Heading 1 Char"/>
    <w:basedOn w:val="DefaultParagraphFont"/>
    <w:link w:val="Heading1"/>
    <w:uiPriority w:val="9"/>
    <w:rsid w:val="00B17DF9"/>
    <w:rPr>
      <w:rFonts w:asciiTheme="majorHAnsi" w:eastAsiaTheme="majorEastAsia" w:hAnsiTheme="majorHAnsi" w:cstheme="majorBidi"/>
      <w:color w:val="860C13" w:themeColor="accent1" w:themeShade="BF"/>
      <w:sz w:val="32"/>
      <w:szCs w:val="32"/>
    </w:rPr>
  </w:style>
  <w:style w:type="character" w:customStyle="1" w:styleId="Heading2Char">
    <w:name w:val="Heading 2 Char"/>
    <w:basedOn w:val="DefaultParagraphFont"/>
    <w:link w:val="Heading2"/>
    <w:uiPriority w:val="9"/>
    <w:semiHidden/>
    <w:rsid w:val="00B17DF9"/>
    <w:rPr>
      <w:rFonts w:asciiTheme="majorHAnsi" w:eastAsiaTheme="majorEastAsia" w:hAnsiTheme="majorHAnsi" w:cstheme="majorBidi"/>
      <w:color w:val="860C13" w:themeColor="accent1" w:themeShade="BF"/>
      <w:sz w:val="26"/>
      <w:szCs w:val="26"/>
    </w:rPr>
  </w:style>
  <w:style w:type="character" w:customStyle="1" w:styleId="Heading3Char">
    <w:name w:val="Heading 3 Char"/>
    <w:basedOn w:val="DefaultParagraphFont"/>
    <w:link w:val="Heading3"/>
    <w:uiPriority w:val="9"/>
    <w:semiHidden/>
    <w:rsid w:val="00B17DF9"/>
    <w:rPr>
      <w:rFonts w:asciiTheme="majorHAnsi" w:eastAsiaTheme="majorEastAsia" w:hAnsiTheme="majorHAnsi" w:cstheme="majorBidi"/>
      <w:color w:val="59080C" w:themeColor="accent1" w:themeShade="7F"/>
      <w:sz w:val="24"/>
      <w:szCs w:val="24"/>
    </w:rPr>
  </w:style>
  <w:style w:type="paragraph" w:styleId="TOC1">
    <w:name w:val="toc 1"/>
    <w:basedOn w:val="Normal"/>
    <w:next w:val="Normal"/>
    <w:autoRedefine/>
    <w:uiPriority w:val="39"/>
    <w:unhideWhenUsed/>
    <w:rsid w:val="008A1AAD"/>
    <w:pPr>
      <w:tabs>
        <w:tab w:val="left" w:pos="567"/>
        <w:tab w:val="right" w:leader="dot" w:pos="9017"/>
      </w:tabs>
      <w:spacing w:before="240" w:after="120" w:line="257" w:lineRule="auto"/>
    </w:pPr>
    <w:rPr>
      <w:b/>
      <w:bCs/>
      <w:caps/>
      <w:noProof/>
    </w:rPr>
  </w:style>
  <w:style w:type="character" w:customStyle="1" w:styleId="Heading5Char">
    <w:name w:val="Heading 5 Char"/>
    <w:basedOn w:val="DefaultParagraphFont"/>
    <w:link w:val="Heading5"/>
    <w:uiPriority w:val="9"/>
    <w:semiHidden/>
    <w:rsid w:val="00672AD5"/>
    <w:rPr>
      <w:rFonts w:asciiTheme="majorHAnsi" w:eastAsiaTheme="majorEastAsia" w:hAnsiTheme="majorHAnsi" w:cstheme="majorBidi"/>
      <w:color w:val="860C13" w:themeColor="accent1" w:themeShade="BF"/>
      <w:kern w:val="0"/>
      <w14:ligatures w14:val="none"/>
    </w:rPr>
  </w:style>
  <w:style w:type="paragraph" w:styleId="NormalWeb">
    <w:name w:val="Normal (Web)"/>
    <w:basedOn w:val="Normal"/>
    <w:uiPriority w:val="99"/>
    <w:unhideWhenUsed/>
    <w:rsid w:val="00672AD5"/>
    <w:pPr>
      <w:spacing w:before="100" w:beforeAutospacing="1" w:after="100" w:afterAutospacing="1" w:line="240" w:lineRule="auto"/>
    </w:pPr>
    <w:rPr>
      <w:rFonts w:ascii="Times New Roman" w:eastAsia="Times New Roman" w:hAnsi="Times New Roman" w:cs="Times New Roman"/>
      <w:kern w:val="0"/>
      <w:sz w:val="24"/>
      <w:szCs w:val="24"/>
      <w:lang w:val="en-ZA" w:eastAsia="en-ZA"/>
      <w14:ligatures w14:val="none"/>
    </w:rPr>
  </w:style>
  <w:style w:type="paragraph" w:styleId="TOC2">
    <w:name w:val="toc 2"/>
    <w:basedOn w:val="Normal"/>
    <w:next w:val="Normal"/>
    <w:autoRedefine/>
    <w:uiPriority w:val="39"/>
    <w:unhideWhenUsed/>
    <w:rsid w:val="00C7551E"/>
    <w:pPr>
      <w:tabs>
        <w:tab w:val="left" w:pos="960"/>
        <w:tab w:val="right" w:leader="dot" w:pos="9017"/>
      </w:tabs>
      <w:spacing w:after="100"/>
      <w:ind w:left="567"/>
    </w:pPr>
  </w:style>
  <w:style w:type="character" w:styleId="UnresolvedMention">
    <w:name w:val="Unresolved Mention"/>
    <w:basedOn w:val="DefaultParagraphFont"/>
    <w:uiPriority w:val="99"/>
    <w:semiHidden/>
    <w:unhideWhenUsed/>
    <w:rsid w:val="00F8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6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portal.oecd.org/eshare/ctp/pc/Deliverables/CTP-ICA-WP11/Pillar%202/Implementation/Implementing%20Legislation%20Documents/www.oecd.org/tax/beps/administrative-guidance-global-anti-base-erosionrules-pillar-two-july-2023.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ortal.oecd.org/eshare/ctp/pc/Deliverables/CTP-ICA-WP11/Pillar%202/Implementation/Implementing%20Legislation%20Documents/www.oecd.org/tax/beps/administrative-guidance-global-anti-base-erosion-rules-pillar-two.pdf"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oecd.org/tax/beps/tax-challenges-arising-from-the-digitalisation-of-the-economy-global-anti-base-erosion-model-rules-pillar-two-commentary.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ortal.oecd.org/eshare/ctp/pc/Deliverables/CTP-ICA-WP11/Pillar%202/Implementation/Implementing%20Legislation%20Documents/www.oecd.org/tax/beps/safe-harbours-andpenalty-relief-global-anti-base-erosion-rules-pillar-two.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oecd.org/tax/beps/administrative-guidance-global-antibase-erosion-rules-pillar-two-december-2023.pdf" TargetMode="External"/><Relationship Id="rId27" Type="http://schemas.openxmlformats.org/officeDocument/2006/relationships/footer" Target="footer3.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tax/beps/tax-challenges-arising-from-the-digitalisation-of-the-economy-global-anti-base-erosion-model-rules-pillar-two-commentary.pdf" TargetMode="External"/><Relationship Id="rId2" Type="http://schemas.openxmlformats.org/officeDocument/2006/relationships/hyperlink" Target="https://www.oecd.org/tax/beps/tax-challenges-arising-from-the-digitalisation-of-the-economy-global-anti-base-erosion-model-rules-pillar-two.htm" TargetMode="External"/><Relationship Id="rId1" Type="http://schemas.openxmlformats.org/officeDocument/2006/relationships/hyperlink" Target="https://www.oecd.org/tax/beps/outcome-statement-on-the-two-pillar-solution-to-address-the-tax-challenges-arising-from-the-digitalisation-of-the-economy-july-202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0202\Documents\Custom%20Office%20Templates\PF%202024%20-%20SOG%20template2.dotx" TargetMode="External"/></Relationships>
</file>

<file path=word/theme/theme1.xml><?xml version="1.0" encoding="utf-8"?>
<a:theme xmlns:a="http://schemas.openxmlformats.org/drawingml/2006/main" name="Office Theme">
  <a:themeElements>
    <a:clrScheme name="NT colours">
      <a:dk1>
        <a:srgbClr val="000000"/>
      </a:dk1>
      <a:lt1>
        <a:sysClr val="window" lastClr="FFFFFF"/>
      </a:lt1>
      <a:dk2>
        <a:srgbClr val="939598"/>
      </a:dk2>
      <a:lt2>
        <a:srgbClr val="F2F2F2"/>
      </a:lt2>
      <a:accent1>
        <a:srgbClr val="B4111A"/>
      </a:accent1>
      <a:accent2>
        <a:srgbClr val="F5833C"/>
      </a:accent2>
      <a:accent3>
        <a:srgbClr val="DCB95B"/>
      </a:accent3>
      <a:accent4>
        <a:srgbClr val="0AA145"/>
      </a:accent4>
      <a:accent5>
        <a:srgbClr val="006AA0"/>
      </a:accent5>
      <a:accent6>
        <a:srgbClr val="00A0D9"/>
      </a:accent6>
      <a:hlink>
        <a:srgbClr val="4F81BD"/>
      </a:hlink>
      <a:folHlink>
        <a:srgbClr val="4F81B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9C64AE78AB1244A6DC6892C8C0ED17" ma:contentTypeVersion="15" ma:contentTypeDescription="Create a new document." ma:contentTypeScope="" ma:versionID="da6ef0590d3c30a23d5722a09f1b60cc">
  <xsd:schema xmlns:xsd="http://www.w3.org/2001/XMLSchema" xmlns:xs="http://www.w3.org/2001/XMLSchema" xmlns:p="http://schemas.microsoft.com/office/2006/metadata/properties" xmlns:ns3="72c66eaf-207a-4cac-85ab-0b0bbe8ac1dc" xmlns:ns4="27363850-3293-40cb-9955-50b7a6136058" targetNamespace="http://schemas.microsoft.com/office/2006/metadata/properties" ma:root="true" ma:fieldsID="5d58312e147b979ffc3b0ada9c704206" ns3:_="" ns4:_="">
    <xsd:import namespace="72c66eaf-207a-4cac-85ab-0b0bbe8ac1dc"/>
    <xsd:import namespace="27363850-3293-40cb-9955-50b7a61360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66eaf-207a-4cac-85ab-0b0bbe8ac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363850-3293-40cb-9955-50b7a61360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2c66eaf-207a-4cac-85ab-0b0bbe8ac1dc" xsi:nil="true"/>
  </documentManagement>
</p:properties>
</file>

<file path=customXml/itemProps1.xml><?xml version="1.0" encoding="utf-8"?>
<ds:datastoreItem xmlns:ds="http://schemas.openxmlformats.org/officeDocument/2006/customXml" ds:itemID="{6C0305E8-F675-4A1E-8E00-1EEA112077D2}">
  <ds:schemaRefs>
    <ds:schemaRef ds:uri="http://schemas.microsoft.com/sharepoint/v3/contenttype/forms"/>
  </ds:schemaRefs>
</ds:datastoreItem>
</file>

<file path=customXml/itemProps2.xml><?xml version="1.0" encoding="utf-8"?>
<ds:datastoreItem xmlns:ds="http://schemas.openxmlformats.org/officeDocument/2006/customXml" ds:itemID="{66541B7B-1080-49F3-AF6F-5236BC502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66eaf-207a-4cac-85ab-0b0bbe8ac1dc"/>
    <ds:schemaRef ds:uri="27363850-3293-40cb-9955-50b7a613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1CD91-F995-48CE-AB5F-240B74B2810C}">
  <ds:schemaRefs>
    <ds:schemaRef ds:uri="http://schemas.openxmlformats.org/officeDocument/2006/bibliography"/>
  </ds:schemaRefs>
</ds:datastoreItem>
</file>

<file path=customXml/itemProps4.xml><?xml version="1.0" encoding="utf-8"?>
<ds:datastoreItem xmlns:ds="http://schemas.openxmlformats.org/officeDocument/2006/customXml" ds:itemID="{4ABD7662-1A64-43D3-8D66-DFC571D18A85}">
  <ds:schemaRefs>
    <ds:schemaRef ds:uri="http://schemas.microsoft.com/office/2006/metadata/properties"/>
    <ds:schemaRef ds:uri="http://schemas.microsoft.com/office/infopath/2007/PartnerControls"/>
    <ds:schemaRef ds:uri="72c66eaf-207a-4cac-85ab-0b0bbe8ac1dc"/>
  </ds:schemaRefs>
</ds:datastoreItem>
</file>

<file path=docProps/app.xml><?xml version="1.0" encoding="utf-8"?>
<Properties xmlns="http://schemas.openxmlformats.org/officeDocument/2006/extended-properties" xmlns:vt="http://schemas.openxmlformats.org/officeDocument/2006/docPropsVTypes">
  <Template>PF 2024 - SOG template2.dotx</Template>
  <TotalTime>1</TotalTime>
  <Pages>23</Pages>
  <Words>5138</Words>
  <Characters>29292</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Badenhorst</dc:creator>
  <cp:keywords/>
  <dc:description/>
  <cp:lastModifiedBy>Daleen Marais</cp:lastModifiedBy>
  <cp:revision>2</cp:revision>
  <cp:lastPrinted>2024-10-01T13:21:00Z</cp:lastPrinted>
  <dcterms:created xsi:type="dcterms:W3CDTF">2024-10-01T13:30:00Z</dcterms:created>
  <dcterms:modified xsi:type="dcterms:W3CDTF">2024-10-01T13:30:00Z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0x010100819C64AE78AB1244A6DC6892C8C0ED17</vt:lpwstr>
  </property>
</Properties>
</file>